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BF40E6" w:rsidRPr="00023672" w:rsidTr="00D97436">
        <w:trPr>
          <w:gridAfter w:val="1"/>
          <w:wAfter w:w="13" w:type="dxa"/>
          <w:trHeight w:val="1674"/>
        </w:trPr>
        <w:tc>
          <w:tcPr>
            <w:tcW w:w="9228" w:type="dxa"/>
            <w:shd w:val="clear" w:color="auto" w:fill="auto"/>
          </w:tcPr>
          <w:p w:rsidR="00BF40E6" w:rsidRPr="00023672" w:rsidRDefault="00BF40E6" w:rsidP="00D97436">
            <w:pPr>
              <w:jc w:val="center"/>
              <w:rPr>
                <w:rFonts w:ascii="Arial Black" w:hAnsi="Arial Black" w:cs="Arial"/>
                <w:b/>
              </w:rPr>
            </w:pPr>
            <w:bookmarkStart w:id="0" w:name="_GoBack"/>
            <w:bookmarkEnd w:id="0"/>
            <w:r w:rsidRPr="00023672">
              <w:rPr>
                <w:rFonts w:ascii="Arial Black" w:hAnsi="Arial Black" w:cs="Arial"/>
                <w:b/>
              </w:rPr>
              <w:t>Report of The Head of Finance</w:t>
            </w:r>
          </w:p>
          <w:p w:rsidR="00BF40E6" w:rsidRPr="00023672" w:rsidRDefault="00BF40E6" w:rsidP="00D97436">
            <w:pPr>
              <w:jc w:val="center"/>
              <w:rPr>
                <w:rFonts w:ascii="Arial Black" w:hAnsi="Arial Black" w:cs="Arial"/>
                <w:b/>
              </w:rPr>
            </w:pPr>
            <w:r w:rsidRPr="00023672">
              <w:rPr>
                <w:rFonts w:ascii="Arial Black" w:hAnsi="Arial Black" w:cs="Arial"/>
                <w:b/>
              </w:rPr>
              <w:t>To</w:t>
            </w:r>
          </w:p>
          <w:p w:rsidR="00BF40E6" w:rsidRPr="00023672" w:rsidRDefault="00CD13D7" w:rsidP="00D97436">
            <w:pPr>
              <w:jc w:val="center"/>
              <w:rPr>
                <w:rFonts w:ascii="Arial Black" w:hAnsi="Arial Black" w:cs="Arial"/>
                <w:b/>
              </w:rPr>
            </w:pPr>
            <w:r>
              <w:rPr>
                <w:rFonts w:ascii="Arial Black" w:hAnsi="Arial Black" w:cs="Arial"/>
                <w:b/>
              </w:rPr>
              <w:t>Portfolio Holder for Corporate and Finance</w:t>
            </w:r>
          </w:p>
          <w:p w:rsidR="00BF40E6" w:rsidRPr="00906EDD" w:rsidRDefault="00BF40E6" w:rsidP="00D97436">
            <w:pPr>
              <w:jc w:val="center"/>
              <w:rPr>
                <w:rFonts w:ascii="Arial Black" w:hAnsi="Arial Black" w:cs="Arial"/>
                <w:b/>
              </w:rPr>
            </w:pPr>
            <w:r w:rsidRPr="00906EDD">
              <w:rPr>
                <w:rFonts w:ascii="Arial Black" w:hAnsi="Arial Black" w:cs="Arial"/>
                <w:b/>
              </w:rPr>
              <w:t>On</w:t>
            </w:r>
          </w:p>
          <w:p w:rsidR="00BF40E6" w:rsidRPr="00023672" w:rsidRDefault="00CD13D7" w:rsidP="00A278BA">
            <w:pPr>
              <w:jc w:val="center"/>
              <w:rPr>
                <w:rFonts w:ascii="Arial" w:hAnsi="Arial" w:cs="Arial"/>
                <w:b/>
              </w:rPr>
            </w:pPr>
            <w:r>
              <w:rPr>
                <w:rFonts w:ascii="Arial Black" w:hAnsi="Arial Black" w:cs="Arial"/>
                <w:b/>
              </w:rPr>
              <w:t>26</w:t>
            </w:r>
            <w:r w:rsidR="00906EDD" w:rsidRPr="00906EDD">
              <w:rPr>
                <w:rFonts w:ascii="Arial Black" w:hAnsi="Arial Black" w:cs="Arial"/>
                <w:b/>
              </w:rPr>
              <w:t xml:space="preserve"> August</w:t>
            </w:r>
            <w:r w:rsidR="00EC68A2" w:rsidRPr="00906EDD">
              <w:rPr>
                <w:rFonts w:ascii="Arial Black" w:hAnsi="Arial Black" w:cs="Arial"/>
                <w:b/>
              </w:rPr>
              <w:t xml:space="preserve"> 202</w:t>
            </w:r>
            <w:r w:rsidR="00906EDD" w:rsidRPr="00906EDD">
              <w:rPr>
                <w:rFonts w:ascii="Arial Black" w:hAnsi="Arial Black" w:cs="Arial"/>
                <w:b/>
              </w:rPr>
              <w:t>2</w:t>
            </w:r>
          </w:p>
        </w:tc>
      </w:tr>
      <w:tr w:rsidR="00BF40E6" w:rsidRPr="00023672" w:rsidTr="00D97436">
        <w:trPr>
          <w:gridAfter w:val="1"/>
          <w:wAfter w:w="13" w:type="dxa"/>
        </w:trPr>
        <w:tc>
          <w:tcPr>
            <w:tcW w:w="9228" w:type="dxa"/>
            <w:shd w:val="clear" w:color="auto" w:fill="auto"/>
          </w:tcPr>
          <w:p w:rsidR="00BF40E6" w:rsidRPr="00023672" w:rsidRDefault="00BF40E6" w:rsidP="00D97436">
            <w:pPr>
              <w:jc w:val="center"/>
              <w:rPr>
                <w:rFonts w:cs="Arial"/>
              </w:rPr>
            </w:pPr>
          </w:p>
        </w:tc>
      </w:tr>
      <w:tr w:rsidR="00BF40E6" w:rsidRPr="00023672" w:rsidTr="00D97436">
        <w:tc>
          <w:tcPr>
            <w:tcW w:w="9242" w:type="dxa"/>
            <w:gridSpan w:val="2"/>
            <w:tcBorders>
              <w:top w:val="single" w:sz="24" w:space="0" w:color="auto"/>
              <w:bottom w:val="single" w:sz="24" w:space="0" w:color="auto"/>
            </w:tcBorders>
            <w:shd w:val="clear" w:color="auto" w:fill="auto"/>
          </w:tcPr>
          <w:p w:rsidR="00BF40E6" w:rsidRPr="00023672" w:rsidRDefault="0030186D" w:rsidP="00A278BA">
            <w:pPr>
              <w:spacing w:before="240" w:after="240"/>
              <w:jc w:val="center"/>
              <w:rPr>
                <w:rFonts w:ascii="Arial" w:hAnsi="Arial" w:cs="Arial"/>
                <w:b/>
              </w:rPr>
            </w:pPr>
            <w:r w:rsidRPr="0030186D">
              <w:rPr>
                <w:rFonts w:ascii="Arial" w:hAnsi="Arial" w:cs="Arial"/>
                <w:b/>
                <w:sz w:val="22"/>
              </w:rPr>
              <w:t>REVENUE AND CAPITAL OUTTURN POSITION 20</w:t>
            </w:r>
            <w:r w:rsidR="007204D1">
              <w:rPr>
                <w:rFonts w:ascii="Arial" w:hAnsi="Arial" w:cs="Arial"/>
                <w:b/>
                <w:sz w:val="22"/>
              </w:rPr>
              <w:t>21</w:t>
            </w:r>
            <w:r w:rsidRPr="0030186D">
              <w:rPr>
                <w:rFonts w:ascii="Arial" w:hAnsi="Arial" w:cs="Arial"/>
                <w:b/>
                <w:sz w:val="22"/>
              </w:rPr>
              <w:t>/2</w:t>
            </w:r>
            <w:r w:rsidR="007204D1">
              <w:rPr>
                <w:rFonts w:ascii="Arial" w:hAnsi="Arial" w:cs="Arial"/>
                <w:b/>
                <w:sz w:val="22"/>
              </w:rPr>
              <w:t>2</w:t>
            </w:r>
          </w:p>
        </w:tc>
      </w:tr>
    </w:tbl>
    <w:p w:rsidR="00D97436" w:rsidRDefault="00D97436"/>
    <w:p w:rsidR="00842443" w:rsidRDefault="00842443" w:rsidP="00BF40E6">
      <w:pPr>
        <w:rPr>
          <w:rFonts w:ascii="Arial" w:hAnsi="Arial" w:cs="Arial"/>
          <w:b/>
        </w:rPr>
      </w:pPr>
    </w:p>
    <w:p w:rsidR="00BF40E6" w:rsidRPr="00023672" w:rsidRDefault="00BF40E6" w:rsidP="00BF40E6">
      <w:pPr>
        <w:rPr>
          <w:rFonts w:ascii="Arial" w:hAnsi="Arial" w:cs="Arial"/>
          <w:b/>
        </w:rPr>
      </w:pPr>
      <w:r w:rsidRPr="00023672">
        <w:rPr>
          <w:rFonts w:ascii="Arial" w:hAnsi="Arial" w:cs="Arial"/>
          <w:b/>
        </w:rPr>
        <w:t>1.</w:t>
      </w:r>
      <w:r w:rsidRPr="00023672">
        <w:rPr>
          <w:rFonts w:ascii="Arial" w:hAnsi="Arial" w:cs="Arial"/>
          <w:b/>
        </w:rPr>
        <w:tab/>
        <w:t>SUMMARY</w:t>
      </w:r>
    </w:p>
    <w:p w:rsidR="00BF40E6" w:rsidRPr="00BF40E6" w:rsidRDefault="00BF40E6">
      <w:pPr>
        <w:rPr>
          <w:rFonts w:ascii="Arial" w:hAnsi="Arial" w:cs="Arial"/>
        </w:rPr>
      </w:pPr>
    </w:p>
    <w:p w:rsidR="00BF40E6" w:rsidRDefault="00CA5581" w:rsidP="00A3547D">
      <w:pPr>
        <w:ind w:left="720" w:hanging="720"/>
        <w:jc w:val="both"/>
        <w:rPr>
          <w:rFonts w:ascii="Arial" w:hAnsi="Arial" w:cs="Arial"/>
        </w:rPr>
      </w:pPr>
      <w:r>
        <w:rPr>
          <w:rFonts w:ascii="Arial" w:hAnsi="Arial" w:cs="Arial"/>
        </w:rPr>
        <w:t>1.1</w:t>
      </w:r>
      <w:r>
        <w:rPr>
          <w:rFonts w:ascii="Arial" w:hAnsi="Arial" w:cs="Arial"/>
        </w:rPr>
        <w:tab/>
      </w:r>
      <w:r w:rsidR="00BF40E6" w:rsidRPr="00BF40E6">
        <w:rPr>
          <w:rFonts w:ascii="Arial" w:hAnsi="Arial" w:cs="Arial"/>
        </w:rPr>
        <w:t>This report</w:t>
      </w:r>
      <w:r w:rsidR="00BF40E6">
        <w:rPr>
          <w:rFonts w:ascii="Arial" w:hAnsi="Arial" w:cs="Arial"/>
        </w:rPr>
        <w:t xml:space="preserve"> provides the Council’</w:t>
      </w:r>
      <w:r w:rsidR="00407864">
        <w:rPr>
          <w:rFonts w:ascii="Arial" w:hAnsi="Arial" w:cs="Arial"/>
        </w:rPr>
        <w:t>s</w:t>
      </w:r>
      <w:r w:rsidR="00BF40E6">
        <w:rPr>
          <w:rFonts w:ascii="Arial" w:hAnsi="Arial" w:cs="Arial"/>
        </w:rPr>
        <w:t xml:space="preserve"> year end outturn position for the revenue </w:t>
      </w:r>
      <w:r w:rsidR="00D17152">
        <w:rPr>
          <w:rFonts w:ascii="Arial" w:hAnsi="Arial" w:cs="Arial"/>
        </w:rPr>
        <w:t>and capital budgets for the 20</w:t>
      </w:r>
      <w:r w:rsidR="007204D1">
        <w:rPr>
          <w:rFonts w:ascii="Arial" w:hAnsi="Arial" w:cs="Arial"/>
        </w:rPr>
        <w:t>21</w:t>
      </w:r>
      <w:r w:rsidR="00BF40E6">
        <w:rPr>
          <w:rFonts w:ascii="Arial" w:hAnsi="Arial" w:cs="Arial"/>
        </w:rPr>
        <w:t>/</w:t>
      </w:r>
      <w:r w:rsidR="00D17152">
        <w:rPr>
          <w:rFonts w:ascii="Arial" w:hAnsi="Arial" w:cs="Arial"/>
        </w:rPr>
        <w:t>2</w:t>
      </w:r>
      <w:r w:rsidR="007204D1">
        <w:rPr>
          <w:rFonts w:ascii="Arial" w:hAnsi="Arial" w:cs="Arial"/>
        </w:rPr>
        <w:t>2</w:t>
      </w:r>
      <w:r w:rsidR="00D17152">
        <w:rPr>
          <w:rFonts w:ascii="Arial" w:hAnsi="Arial" w:cs="Arial"/>
        </w:rPr>
        <w:t xml:space="preserve"> </w:t>
      </w:r>
      <w:r w:rsidR="00BF40E6">
        <w:rPr>
          <w:rFonts w:ascii="Arial" w:hAnsi="Arial" w:cs="Arial"/>
        </w:rPr>
        <w:t xml:space="preserve">financial year, and the impact on both the General Fund and Housing Revenue Account (HRA) </w:t>
      </w:r>
      <w:r w:rsidR="00E613CD">
        <w:rPr>
          <w:rFonts w:ascii="Arial" w:hAnsi="Arial" w:cs="Arial"/>
        </w:rPr>
        <w:t xml:space="preserve">level of general </w:t>
      </w:r>
      <w:r w:rsidR="00BF40E6">
        <w:rPr>
          <w:rFonts w:ascii="Arial" w:hAnsi="Arial" w:cs="Arial"/>
        </w:rPr>
        <w:t>Balances.</w:t>
      </w:r>
    </w:p>
    <w:p w:rsidR="00BF40E6" w:rsidRDefault="00BF40E6" w:rsidP="00A3547D">
      <w:pPr>
        <w:jc w:val="both"/>
        <w:rPr>
          <w:rFonts w:ascii="Arial" w:hAnsi="Arial" w:cs="Arial"/>
        </w:rPr>
      </w:pPr>
    </w:p>
    <w:p w:rsidR="00BF40E6" w:rsidRDefault="00CA5581" w:rsidP="00A3547D">
      <w:pPr>
        <w:ind w:left="720" w:hanging="720"/>
        <w:jc w:val="both"/>
        <w:rPr>
          <w:rFonts w:ascii="Arial" w:hAnsi="Arial" w:cs="Arial"/>
        </w:rPr>
      </w:pPr>
      <w:r>
        <w:rPr>
          <w:rFonts w:ascii="Arial" w:hAnsi="Arial" w:cs="Arial"/>
        </w:rPr>
        <w:t>1.2</w:t>
      </w:r>
      <w:r>
        <w:rPr>
          <w:rFonts w:ascii="Arial" w:hAnsi="Arial" w:cs="Arial"/>
        </w:rPr>
        <w:tab/>
      </w:r>
      <w:r w:rsidR="00407864">
        <w:rPr>
          <w:rFonts w:ascii="Arial" w:hAnsi="Arial" w:cs="Arial"/>
        </w:rPr>
        <w:t xml:space="preserve">Where there have been significant variations between budget and the actual </w:t>
      </w:r>
      <w:r w:rsidR="00E613CD">
        <w:rPr>
          <w:rFonts w:ascii="Arial" w:hAnsi="Arial" w:cs="Arial"/>
        </w:rPr>
        <w:t xml:space="preserve">outturn </w:t>
      </w:r>
      <w:r w:rsidR="00407864">
        <w:rPr>
          <w:rFonts w:ascii="Arial" w:hAnsi="Arial" w:cs="Arial"/>
        </w:rPr>
        <w:t>position for each service, the explanations have been provided.</w:t>
      </w:r>
    </w:p>
    <w:p w:rsidR="00BF40E6" w:rsidRDefault="00BF40E6">
      <w:pPr>
        <w:rPr>
          <w:rFonts w:ascii="Arial" w:hAnsi="Arial" w:cs="Arial"/>
        </w:rPr>
      </w:pPr>
    </w:p>
    <w:p w:rsidR="00BF40E6" w:rsidRDefault="00BF40E6">
      <w:pPr>
        <w:rPr>
          <w:rFonts w:ascii="Arial" w:hAnsi="Arial" w:cs="Arial"/>
        </w:rPr>
      </w:pPr>
    </w:p>
    <w:p w:rsidR="00BF40E6" w:rsidRPr="00842443" w:rsidRDefault="00BF40E6">
      <w:pPr>
        <w:rPr>
          <w:rFonts w:ascii="Arial" w:hAnsi="Arial" w:cs="Arial"/>
          <w:b/>
        </w:rPr>
      </w:pPr>
      <w:r w:rsidRPr="00842443">
        <w:rPr>
          <w:rFonts w:ascii="Arial" w:hAnsi="Arial" w:cs="Arial"/>
          <w:b/>
        </w:rPr>
        <w:t>2.</w:t>
      </w:r>
      <w:r w:rsidRPr="00842443">
        <w:rPr>
          <w:rFonts w:ascii="Arial" w:hAnsi="Arial" w:cs="Arial"/>
          <w:b/>
        </w:rPr>
        <w:tab/>
        <w:t>RECOMMENDATION</w:t>
      </w:r>
    </w:p>
    <w:p w:rsidR="00BF40E6" w:rsidRDefault="00BF40E6">
      <w:pPr>
        <w:rPr>
          <w:rFonts w:ascii="Arial" w:hAnsi="Arial" w:cs="Arial"/>
        </w:rPr>
      </w:pPr>
    </w:p>
    <w:p w:rsidR="00BF40E6" w:rsidRDefault="00BF40E6">
      <w:pPr>
        <w:rPr>
          <w:rFonts w:ascii="Arial" w:hAnsi="Arial" w:cs="Arial"/>
        </w:rPr>
      </w:pPr>
      <w:r>
        <w:rPr>
          <w:rFonts w:ascii="Arial" w:hAnsi="Arial" w:cs="Arial"/>
        </w:rPr>
        <w:t>To be recommended to Council</w:t>
      </w:r>
      <w:r w:rsidR="00E613CD">
        <w:rPr>
          <w:rFonts w:ascii="Arial" w:hAnsi="Arial" w:cs="Arial"/>
        </w:rPr>
        <w:t>:</w:t>
      </w:r>
    </w:p>
    <w:p w:rsidR="00BF40E6" w:rsidRDefault="00BF40E6">
      <w:pPr>
        <w:rPr>
          <w:rFonts w:ascii="Arial" w:hAnsi="Arial" w:cs="Arial"/>
        </w:rPr>
      </w:pPr>
    </w:p>
    <w:p w:rsidR="00BF40E6" w:rsidRDefault="00BF40E6" w:rsidP="00A3547D">
      <w:pPr>
        <w:pStyle w:val="ListParagraph"/>
        <w:numPr>
          <w:ilvl w:val="0"/>
          <w:numId w:val="1"/>
        </w:numPr>
        <w:ind w:left="709" w:hanging="425"/>
        <w:jc w:val="both"/>
        <w:rPr>
          <w:rFonts w:ascii="Arial" w:hAnsi="Arial" w:cs="Arial"/>
        </w:rPr>
      </w:pPr>
      <w:r w:rsidRPr="00A80FDC">
        <w:rPr>
          <w:rFonts w:ascii="Arial" w:hAnsi="Arial" w:cs="Arial"/>
        </w:rPr>
        <w:t xml:space="preserve">That the General Fund and Housing Revenue Account </w:t>
      </w:r>
      <w:r w:rsidR="00CA5581">
        <w:rPr>
          <w:rFonts w:ascii="Arial" w:hAnsi="Arial" w:cs="Arial"/>
        </w:rPr>
        <w:t>revenue</w:t>
      </w:r>
      <w:r w:rsidRPr="00A80FDC">
        <w:rPr>
          <w:rFonts w:ascii="Arial" w:hAnsi="Arial" w:cs="Arial"/>
        </w:rPr>
        <w:t xml:space="preserve"> outturn position </w:t>
      </w:r>
      <w:r w:rsidR="00D17152">
        <w:rPr>
          <w:rFonts w:ascii="Arial" w:hAnsi="Arial" w:cs="Arial"/>
        </w:rPr>
        <w:t xml:space="preserve">for the </w:t>
      </w:r>
      <w:r w:rsidR="007204D1">
        <w:rPr>
          <w:rFonts w:ascii="Arial" w:hAnsi="Arial" w:cs="Arial"/>
        </w:rPr>
        <w:t>2021/22</w:t>
      </w:r>
      <w:r w:rsidR="00A278BA">
        <w:rPr>
          <w:rFonts w:ascii="Arial" w:hAnsi="Arial" w:cs="Arial"/>
        </w:rPr>
        <w:t xml:space="preserve"> </w:t>
      </w:r>
      <w:r w:rsidR="00CA5581">
        <w:rPr>
          <w:rFonts w:ascii="Arial" w:hAnsi="Arial" w:cs="Arial"/>
        </w:rPr>
        <w:t xml:space="preserve">financial year </w:t>
      </w:r>
      <w:r w:rsidRPr="00A80FDC">
        <w:rPr>
          <w:rFonts w:ascii="Arial" w:hAnsi="Arial" w:cs="Arial"/>
        </w:rPr>
        <w:t>be noted</w:t>
      </w:r>
      <w:r w:rsidR="00E613CD">
        <w:rPr>
          <w:rFonts w:ascii="Arial" w:hAnsi="Arial" w:cs="Arial"/>
        </w:rPr>
        <w:t>.</w:t>
      </w:r>
    </w:p>
    <w:p w:rsidR="00E613CD" w:rsidRPr="00A80FDC" w:rsidRDefault="00E613CD" w:rsidP="00A3547D">
      <w:pPr>
        <w:pStyle w:val="ListParagraph"/>
        <w:ind w:left="709"/>
        <w:jc w:val="both"/>
        <w:rPr>
          <w:rFonts w:ascii="Arial" w:hAnsi="Arial" w:cs="Arial"/>
        </w:rPr>
      </w:pPr>
    </w:p>
    <w:p w:rsidR="00A80FDC" w:rsidRDefault="00A80FDC" w:rsidP="00A3547D">
      <w:pPr>
        <w:pStyle w:val="ListParagraph"/>
        <w:numPr>
          <w:ilvl w:val="0"/>
          <w:numId w:val="1"/>
        </w:numPr>
        <w:ind w:left="709" w:hanging="425"/>
        <w:jc w:val="both"/>
        <w:rPr>
          <w:rFonts w:ascii="Arial" w:hAnsi="Arial" w:cs="Arial"/>
        </w:rPr>
      </w:pPr>
      <w:r w:rsidRPr="00A80FDC">
        <w:rPr>
          <w:rFonts w:ascii="Arial" w:hAnsi="Arial" w:cs="Arial"/>
        </w:rPr>
        <w:t xml:space="preserve">That the Capital Outturn </w:t>
      </w:r>
      <w:r w:rsidR="00240A95">
        <w:rPr>
          <w:rFonts w:ascii="Arial" w:hAnsi="Arial" w:cs="Arial"/>
        </w:rPr>
        <w:t>p</w:t>
      </w:r>
      <w:r w:rsidRPr="00A80FDC">
        <w:rPr>
          <w:rFonts w:ascii="Arial" w:hAnsi="Arial" w:cs="Arial"/>
        </w:rPr>
        <w:t xml:space="preserve">osition </w:t>
      </w:r>
      <w:r w:rsidR="00D17152">
        <w:rPr>
          <w:rFonts w:ascii="Arial" w:hAnsi="Arial" w:cs="Arial"/>
        </w:rPr>
        <w:t xml:space="preserve">for the </w:t>
      </w:r>
      <w:r w:rsidR="007204D1">
        <w:rPr>
          <w:rFonts w:ascii="Arial" w:hAnsi="Arial" w:cs="Arial"/>
        </w:rPr>
        <w:t>2021/22</w:t>
      </w:r>
      <w:r w:rsidR="00A278BA">
        <w:rPr>
          <w:rFonts w:ascii="Arial" w:hAnsi="Arial" w:cs="Arial"/>
        </w:rPr>
        <w:t xml:space="preserve"> </w:t>
      </w:r>
      <w:r w:rsidR="00CA5581">
        <w:rPr>
          <w:rFonts w:ascii="Arial" w:hAnsi="Arial" w:cs="Arial"/>
        </w:rPr>
        <w:t xml:space="preserve">financial year </w:t>
      </w:r>
      <w:r w:rsidRPr="00A80FDC">
        <w:rPr>
          <w:rFonts w:ascii="Arial" w:hAnsi="Arial" w:cs="Arial"/>
        </w:rPr>
        <w:t>be noted</w:t>
      </w:r>
    </w:p>
    <w:p w:rsidR="00E613CD" w:rsidRPr="00BA2833" w:rsidRDefault="00E613CD" w:rsidP="00BA2833">
      <w:pPr>
        <w:jc w:val="both"/>
        <w:rPr>
          <w:rFonts w:ascii="Arial" w:hAnsi="Arial" w:cs="Arial"/>
        </w:rPr>
      </w:pPr>
    </w:p>
    <w:p w:rsidR="00A80FDC" w:rsidRPr="00F35A8C" w:rsidRDefault="00A80FDC" w:rsidP="00A3547D">
      <w:pPr>
        <w:pStyle w:val="ListParagraph"/>
        <w:numPr>
          <w:ilvl w:val="0"/>
          <w:numId w:val="1"/>
        </w:numPr>
        <w:ind w:left="709" w:hanging="425"/>
        <w:jc w:val="both"/>
        <w:rPr>
          <w:rFonts w:ascii="Arial" w:hAnsi="Arial" w:cs="Arial"/>
        </w:rPr>
      </w:pPr>
      <w:r w:rsidRPr="00F35A8C">
        <w:rPr>
          <w:rFonts w:ascii="Arial" w:hAnsi="Arial" w:cs="Arial"/>
        </w:rPr>
        <w:t xml:space="preserve">That the method of funding the capital programme </w:t>
      </w:r>
      <w:r w:rsidR="007204D1" w:rsidRPr="00F35A8C">
        <w:rPr>
          <w:rFonts w:ascii="Arial" w:hAnsi="Arial" w:cs="Arial"/>
        </w:rPr>
        <w:t>2021/22</w:t>
      </w:r>
      <w:r w:rsidR="00A278BA" w:rsidRPr="00F35A8C">
        <w:rPr>
          <w:rFonts w:ascii="Arial" w:hAnsi="Arial" w:cs="Arial"/>
        </w:rPr>
        <w:t xml:space="preserve"> </w:t>
      </w:r>
      <w:r w:rsidRPr="00F35A8C">
        <w:rPr>
          <w:rFonts w:ascii="Arial" w:hAnsi="Arial" w:cs="Arial"/>
        </w:rPr>
        <w:t xml:space="preserve">as shown in (Table </w:t>
      </w:r>
      <w:r w:rsidR="00A339F9" w:rsidRPr="00F35A8C">
        <w:rPr>
          <w:rFonts w:ascii="Arial" w:hAnsi="Arial" w:cs="Arial"/>
        </w:rPr>
        <w:t>8</w:t>
      </w:r>
      <w:r w:rsidRPr="00F35A8C">
        <w:rPr>
          <w:rFonts w:ascii="Arial" w:hAnsi="Arial" w:cs="Arial"/>
        </w:rPr>
        <w:t xml:space="preserve">) be </w:t>
      </w:r>
      <w:r w:rsidR="00B654F3" w:rsidRPr="00F35A8C">
        <w:rPr>
          <w:rFonts w:ascii="Arial" w:hAnsi="Arial" w:cs="Arial"/>
        </w:rPr>
        <w:t>noted</w:t>
      </w:r>
      <w:r w:rsidRPr="00F35A8C">
        <w:rPr>
          <w:rFonts w:ascii="Arial" w:hAnsi="Arial" w:cs="Arial"/>
        </w:rPr>
        <w:t>.</w:t>
      </w:r>
    </w:p>
    <w:p w:rsidR="00BA2833" w:rsidRPr="00F35A8C" w:rsidRDefault="00BA2833" w:rsidP="00A278BA">
      <w:pPr>
        <w:rPr>
          <w:rFonts w:ascii="Arial" w:hAnsi="Arial" w:cs="Arial"/>
        </w:rPr>
      </w:pPr>
    </w:p>
    <w:p w:rsidR="00BA2833" w:rsidRPr="00F35A8C" w:rsidRDefault="00BA2833" w:rsidP="00A3547D">
      <w:pPr>
        <w:pStyle w:val="ListParagraph"/>
        <w:numPr>
          <w:ilvl w:val="0"/>
          <w:numId w:val="1"/>
        </w:numPr>
        <w:ind w:left="709" w:hanging="425"/>
        <w:jc w:val="both"/>
        <w:rPr>
          <w:rFonts w:ascii="Arial" w:hAnsi="Arial" w:cs="Arial"/>
        </w:rPr>
      </w:pPr>
      <w:r w:rsidRPr="00F35A8C">
        <w:rPr>
          <w:rFonts w:ascii="Arial" w:hAnsi="Arial" w:cs="Arial"/>
        </w:rPr>
        <w:t xml:space="preserve">That Capital budget carry-forwards totalling </w:t>
      </w:r>
      <w:r w:rsidR="00C76BD6" w:rsidRPr="00F35A8C">
        <w:rPr>
          <w:rFonts w:ascii="Arial" w:hAnsi="Arial" w:cs="Arial"/>
        </w:rPr>
        <w:t>£</w:t>
      </w:r>
      <w:r w:rsidR="00F35A8C" w:rsidRPr="00F35A8C">
        <w:rPr>
          <w:rFonts w:ascii="Arial" w:hAnsi="Arial" w:cs="Arial"/>
        </w:rPr>
        <w:t>53</w:t>
      </w:r>
      <w:r w:rsidR="00791180" w:rsidRPr="00F35A8C">
        <w:rPr>
          <w:rFonts w:ascii="Arial" w:hAnsi="Arial" w:cs="Arial"/>
        </w:rPr>
        <w:t>.</w:t>
      </w:r>
      <w:r w:rsidR="00F35A8C" w:rsidRPr="00F35A8C">
        <w:rPr>
          <w:rFonts w:ascii="Arial" w:hAnsi="Arial" w:cs="Arial"/>
        </w:rPr>
        <w:t>362</w:t>
      </w:r>
      <w:r w:rsidR="005E2459" w:rsidRPr="00F35A8C">
        <w:rPr>
          <w:rFonts w:ascii="Arial" w:hAnsi="Arial" w:cs="Arial"/>
        </w:rPr>
        <w:t>m</w:t>
      </w:r>
      <w:r w:rsidR="00A339F9" w:rsidRPr="00F35A8C">
        <w:rPr>
          <w:rFonts w:ascii="Arial" w:hAnsi="Arial" w:cs="Arial"/>
        </w:rPr>
        <w:t xml:space="preserve"> be noted, as per Appendix </w:t>
      </w:r>
      <w:r w:rsidR="00F35A8C" w:rsidRPr="00F35A8C">
        <w:rPr>
          <w:rFonts w:ascii="Arial" w:hAnsi="Arial" w:cs="Arial"/>
        </w:rPr>
        <w:t>4</w:t>
      </w:r>
      <w:r w:rsidR="00A339F9" w:rsidRPr="00F35A8C">
        <w:rPr>
          <w:rFonts w:ascii="Arial" w:hAnsi="Arial" w:cs="Arial"/>
        </w:rPr>
        <w:t xml:space="preserve"> and Appendix </w:t>
      </w:r>
      <w:r w:rsidR="00F35A8C" w:rsidRPr="00F35A8C">
        <w:rPr>
          <w:rFonts w:ascii="Arial" w:hAnsi="Arial" w:cs="Arial"/>
        </w:rPr>
        <w:t>5</w:t>
      </w:r>
    </w:p>
    <w:p w:rsidR="00E613CD" w:rsidRPr="00A80FDC" w:rsidRDefault="00E613CD" w:rsidP="00A3547D">
      <w:pPr>
        <w:pStyle w:val="ListParagraph"/>
        <w:ind w:left="709"/>
        <w:jc w:val="both"/>
        <w:rPr>
          <w:rFonts w:ascii="Arial" w:hAnsi="Arial" w:cs="Arial"/>
        </w:rPr>
      </w:pPr>
    </w:p>
    <w:p w:rsidR="00BF40E6" w:rsidRDefault="00BF40E6">
      <w:pPr>
        <w:rPr>
          <w:rFonts w:ascii="Arial" w:hAnsi="Arial" w:cs="Arial"/>
        </w:rPr>
      </w:pPr>
    </w:p>
    <w:p w:rsidR="00CA5581" w:rsidRPr="00A80FDC" w:rsidRDefault="00CA5581">
      <w:pPr>
        <w:rPr>
          <w:rFonts w:ascii="Arial" w:hAnsi="Arial" w:cs="Arial"/>
        </w:rPr>
      </w:pPr>
    </w:p>
    <w:p w:rsidR="00E613CD" w:rsidRDefault="00E613CD">
      <w:pPr>
        <w:spacing w:after="200" w:line="276" w:lineRule="auto"/>
        <w:rPr>
          <w:rFonts w:ascii="Arial" w:hAnsi="Arial" w:cs="Arial"/>
          <w:b/>
        </w:rPr>
      </w:pPr>
      <w:r>
        <w:rPr>
          <w:rFonts w:ascii="Arial" w:hAnsi="Arial" w:cs="Arial"/>
          <w:b/>
        </w:rPr>
        <w:br w:type="page"/>
      </w:r>
    </w:p>
    <w:p w:rsidR="00BF40E6" w:rsidRPr="00842443" w:rsidRDefault="00842443" w:rsidP="00CE1CCE">
      <w:pPr>
        <w:rPr>
          <w:rFonts w:ascii="Arial" w:hAnsi="Arial" w:cs="Arial"/>
          <w:b/>
        </w:rPr>
      </w:pPr>
      <w:r w:rsidRPr="00842443">
        <w:rPr>
          <w:rFonts w:ascii="Arial" w:hAnsi="Arial" w:cs="Arial"/>
          <w:b/>
        </w:rPr>
        <w:lastRenderedPageBreak/>
        <w:t>3.</w:t>
      </w:r>
      <w:r w:rsidRPr="00842443">
        <w:rPr>
          <w:rFonts w:ascii="Arial" w:hAnsi="Arial" w:cs="Arial"/>
          <w:b/>
        </w:rPr>
        <w:tab/>
      </w:r>
      <w:r w:rsidR="00CA5581">
        <w:rPr>
          <w:rFonts w:ascii="Arial" w:hAnsi="Arial" w:cs="Arial"/>
          <w:b/>
        </w:rPr>
        <w:t>BACKGROUND</w:t>
      </w:r>
    </w:p>
    <w:p w:rsidR="00BF40E6" w:rsidRDefault="00BF40E6" w:rsidP="00CE1CCE">
      <w:pPr>
        <w:rPr>
          <w:rFonts w:ascii="Arial" w:hAnsi="Arial" w:cs="Arial"/>
        </w:rPr>
      </w:pPr>
    </w:p>
    <w:p w:rsidR="00BF40E6" w:rsidRPr="00CA5581" w:rsidRDefault="00CA5581" w:rsidP="00CE1CCE">
      <w:pPr>
        <w:ind w:left="720" w:hanging="720"/>
        <w:rPr>
          <w:rFonts w:ascii="Arial" w:hAnsi="Arial" w:cs="Arial"/>
        </w:rPr>
      </w:pPr>
      <w:r>
        <w:rPr>
          <w:rFonts w:ascii="Arial" w:hAnsi="Arial" w:cs="Arial"/>
        </w:rPr>
        <w:t>3.1</w:t>
      </w:r>
      <w:r>
        <w:rPr>
          <w:rFonts w:ascii="Arial" w:hAnsi="Arial" w:cs="Arial"/>
        </w:rPr>
        <w:tab/>
      </w:r>
      <w:r w:rsidR="00BF40E6" w:rsidRPr="00CA5581">
        <w:rPr>
          <w:rFonts w:ascii="Arial" w:hAnsi="Arial" w:cs="Arial"/>
        </w:rPr>
        <w:t xml:space="preserve">The Council approved its revenue </w:t>
      </w:r>
      <w:r w:rsidR="00D17152">
        <w:rPr>
          <w:rFonts w:ascii="Arial" w:hAnsi="Arial" w:cs="Arial"/>
        </w:rPr>
        <w:t xml:space="preserve">and capital budgets for the </w:t>
      </w:r>
      <w:r w:rsidR="007204D1">
        <w:rPr>
          <w:rFonts w:ascii="Arial" w:hAnsi="Arial" w:cs="Arial"/>
        </w:rPr>
        <w:t>2021/22</w:t>
      </w:r>
      <w:r w:rsidR="000677A5">
        <w:rPr>
          <w:rFonts w:ascii="Arial" w:hAnsi="Arial" w:cs="Arial"/>
        </w:rPr>
        <w:t xml:space="preserve"> </w:t>
      </w:r>
      <w:r w:rsidR="00BF40E6" w:rsidRPr="00CA5581">
        <w:rPr>
          <w:rFonts w:ascii="Arial" w:hAnsi="Arial" w:cs="Arial"/>
        </w:rPr>
        <w:t xml:space="preserve">financial year on </w:t>
      </w:r>
      <w:r w:rsidR="00E613CD">
        <w:rPr>
          <w:rFonts w:ascii="Arial" w:hAnsi="Arial" w:cs="Arial"/>
        </w:rPr>
        <w:t xml:space="preserve">at its full Council meeting on </w:t>
      </w:r>
      <w:r w:rsidR="00D17152" w:rsidRPr="005E39D1">
        <w:rPr>
          <w:rFonts w:ascii="Arial" w:hAnsi="Arial" w:cs="Arial"/>
        </w:rPr>
        <w:t>2</w:t>
      </w:r>
      <w:r w:rsidR="005E39D1" w:rsidRPr="005E39D1">
        <w:rPr>
          <w:rFonts w:ascii="Arial" w:hAnsi="Arial" w:cs="Arial"/>
        </w:rPr>
        <w:t>7</w:t>
      </w:r>
      <w:r w:rsidR="00D17152" w:rsidRPr="005E39D1">
        <w:rPr>
          <w:rFonts w:ascii="Arial" w:hAnsi="Arial" w:cs="Arial"/>
        </w:rPr>
        <w:t xml:space="preserve"> January </w:t>
      </w:r>
      <w:r w:rsidR="005E39D1" w:rsidRPr="005E39D1">
        <w:rPr>
          <w:rFonts w:ascii="Arial" w:hAnsi="Arial" w:cs="Arial"/>
        </w:rPr>
        <w:t>2021</w:t>
      </w:r>
      <w:r w:rsidR="00BF40E6" w:rsidRPr="005E39D1">
        <w:rPr>
          <w:rFonts w:ascii="Arial" w:hAnsi="Arial" w:cs="Arial"/>
        </w:rPr>
        <w:t>, and</w:t>
      </w:r>
      <w:r w:rsidR="00BF40E6" w:rsidRPr="00CA5581">
        <w:rPr>
          <w:rFonts w:ascii="Arial" w:hAnsi="Arial" w:cs="Arial"/>
        </w:rPr>
        <w:t xml:space="preserve"> this report sets out </w:t>
      </w:r>
      <w:r>
        <w:rPr>
          <w:rFonts w:ascii="Arial" w:hAnsi="Arial" w:cs="Arial"/>
        </w:rPr>
        <w:t>the outturn position against the budget</w:t>
      </w:r>
      <w:r w:rsidR="000677A5">
        <w:rPr>
          <w:rFonts w:ascii="Arial" w:hAnsi="Arial" w:cs="Arial"/>
        </w:rPr>
        <w:t>.</w:t>
      </w:r>
    </w:p>
    <w:p w:rsidR="00BF40E6" w:rsidRPr="00CA5581" w:rsidRDefault="00BF40E6" w:rsidP="00CE1CCE">
      <w:pPr>
        <w:rPr>
          <w:rFonts w:ascii="Arial" w:hAnsi="Arial" w:cs="Arial"/>
        </w:rPr>
      </w:pPr>
    </w:p>
    <w:p w:rsidR="00637CD1" w:rsidRDefault="00CA5581" w:rsidP="00CE1CCE">
      <w:pPr>
        <w:ind w:left="720" w:hanging="720"/>
        <w:rPr>
          <w:rFonts w:ascii="Arial" w:hAnsi="Arial" w:cs="Arial"/>
        </w:rPr>
      </w:pPr>
      <w:r>
        <w:rPr>
          <w:rFonts w:ascii="Arial" w:hAnsi="Arial" w:cs="Arial"/>
        </w:rPr>
        <w:t>3.2</w:t>
      </w:r>
      <w:r>
        <w:rPr>
          <w:rFonts w:ascii="Arial" w:hAnsi="Arial" w:cs="Arial"/>
        </w:rPr>
        <w:tab/>
        <w:t>A summary of the outturn position for each of the General Fund and Housing Revenue Account (HRA) revenue budgets and capital programme is contained within this report with a breakdown o</w:t>
      </w:r>
      <w:r w:rsidR="007204D1">
        <w:rPr>
          <w:rFonts w:ascii="Arial" w:hAnsi="Arial" w:cs="Arial"/>
        </w:rPr>
        <w:t>f significant variances (over £1</w:t>
      </w:r>
      <w:r>
        <w:rPr>
          <w:rFonts w:ascii="Arial" w:hAnsi="Arial" w:cs="Arial"/>
        </w:rPr>
        <w:t>0,000) contained within the relevant Appendices.</w:t>
      </w:r>
    </w:p>
    <w:p w:rsidR="00AA6650" w:rsidRDefault="00AA6650" w:rsidP="00CE1CCE">
      <w:pPr>
        <w:ind w:left="720" w:hanging="720"/>
        <w:rPr>
          <w:rFonts w:ascii="Arial" w:hAnsi="Arial" w:cs="Arial"/>
        </w:rPr>
      </w:pPr>
    </w:p>
    <w:p w:rsidR="00AA6650" w:rsidRPr="00AA6650" w:rsidRDefault="00AA6650" w:rsidP="00CE1CCE">
      <w:pPr>
        <w:ind w:left="720" w:hanging="720"/>
        <w:rPr>
          <w:rFonts w:ascii="Arial" w:hAnsi="Arial" w:cs="Arial"/>
          <w:b/>
        </w:rPr>
      </w:pPr>
      <w:r w:rsidRPr="00AA6650">
        <w:rPr>
          <w:rFonts w:ascii="Arial" w:hAnsi="Arial" w:cs="Arial"/>
          <w:b/>
        </w:rPr>
        <w:t>3.3</w:t>
      </w:r>
      <w:r w:rsidRPr="00AA6650">
        <w:rPr>
          <w:rFonts w:ascii="Arial" w:hAnsi="Arial" w:cs="Arial"/>
          <w:b/>
        </w:rPr>
        <w:tab/>
        <w:t>Covid-19</w:t>
      </w:r>
    </w:p>
    <w:p w:rsidR="00AA6650" w:rsidRDefault="00AA6650" w:rsidP="00CE1CCE">
      <w:pPr>
        <w:ind w:left="720" w:hanging="720"/>
        <w:rPr>
          <w:rFonts w:ascii="Arial" w:hAnsi="Arial" w:cs="Arial"/>
        </w:rPr>
      </w:pPr>
    </w:p>
    <w:p w:rsidR="00D83052" w:rsidRPr="00007444" w:rsidRDefault="00AA6650" w:rsidP="00D83052">
      <w:pPr>
        <w:ind w:left="720" w:hanging="720"/>
        <w:rPr>
          <w:rFonts w:ascii="Arial" w:hAnsi="Arial" w:cs="Arial"/>
        </w:rPr>
      </w:pPr>
      <w:r>
        <w:rPr>
          <w:rFonts w:ascii="Arial" w:hAnsi="Arial" w:cs="Arial"/>
        </w:rPr>
        <w:t>3.3.1</w:t>
      </w:r>
      <w:r w:rsidR="00D83052" w:rsidRPr="00D83052">
        <w:rPr>
          <w:rFonts w:ascii="Arial" w:hAnsi="Arial" w:cs="Arial"/>
        </w:rPr>
        <w:t xml:space="preserve"> </w:t>
      </w:r>
      <w:r w:rsidR="00D83052" w:rsidRPr="00007444">
        <w:rPr>
          <w:rFonts w:ascii="Arial" w:hAnsi="Arial" w:cs="Arial"/>
        </w:rPr>
        <w:t xml:space="preserve">Council approved the 2021/22 financial year budget for both the General Fund and the Housing Revenue Account (HRA) on 27th January 2021. At that time the country was starting to emerge out of Covid-19 restrictions and at the time at which the budgets were approved there was still uncertainty if restrictions would be as severe as in 2020/21.  </w:t>
      </w:r>
    </w:p>
    <w:p w:rsidR="00D83052" w:rsidRPr="00007444" w:rsidRDefault="00D83052" w:rsidP="00D83052">
      <w:pPr>
        <w:ind w:left="720" w:hanging="720"/>
        <w:rPr>
          <w:rFonts w:ascii="Arial" w:hAnsi="Arial" w:cs="Arial"/>
        </w:rPr>
      </w:pPr>
    </w:p>
    <w:p w:rsidR="00D83052" w:rsidRPr="00007444" w:rsidRDefault="00D83052" w:rsidP="00D83052">
      <w:pPr>
        <w:ind w:left="720" w:hanging="720"/>
        <w:rPr>
          <w:rFonts w:ascii="Arial" w:hAnsi="Arial" w:cs="Arial"/>
        </w:rPr>
      </w:pPr>
      <w:r w:rsidRPr="00007444">
        <w:rPr>
          <w:rFonts w:ascii="Arial" w:hAnsi="Arial" w:cs="Arial"/>
        </w:rPr>
        <w:t>3.3.2</w:t>
      </w:r>
      <w:r w:rsidRPr="00007444">
        <w:rPr>
          <w:rFonts w:ascii="Arial" w:hAnsi="Arial" w:cs="Arial"/>
        </w:rPr>
        <w:tab/>
        <w:t xml:space="preserve">Financial support for expenditure has been good and, based on the Covid-19 returns completed throughout the financial year, reported spending pressures have been fully funded, with all local authorities receiving more funding than expenditure incurred. The Council has been allocated a total Covid-19 grant of £2.096million, over four tranches.  The Council has used this grant to meet additional expenditure incurred as a result of Covid-19. </w:t>
      </w:r>
    </w:p>
    <w:p w:rsidR="00D83052" w:rsidRPr="00007444" w:rsidRDefault="00D83052" w:rsidP="00D83052">
      <w:pPr>
        <w:ind w:left="720" w:hanging="720"/>
        <w:rPr>
          <w:rFonts w:ascii="Arial" w:hAnsi="Arial" w:cs="Arial"/>
        </w:rPr>
      </w:pPr>
    </w:p>
    <w:p w:rsidR="00D83052" w:rsidRPr="00007444" w:rsidRDefault="00D83052" w:rsidP="00D83052">
      <w:pPr>
        <w:ind w:left="720" w:hanging="720"/>
        <w:rPr>
          <w:rFonts w:ascii="Arial" w:hAnsi="Arial" w:cs="Arial"/>
        </w:rPr>
      </w:pPr>
      <w:r w:rsidRPr="00007444">
        <w:rPr>
          <w:rFonts w:ascii="Arial" w:hAnsi="Arial" w:cs="Arial"/>
        </w:rPr>
        <w:t>3.3.3</w:t>
      </w:r>
      <w:r w:rsidRPr="00007444">
        <w:rPr>
          <w:rFonts w:ascii="Arial" w:hAnsi="Arial" w:cs="Arial"/>
        </w:rPr>
        <w:tab/>
        <w:t>Support for income losses has been less generous and subject to a number of rules and exclusions. The Council has been allocated £1.254m of compensation for Sales, Fees &amp; Charges income losses due to the pandemic and required lockdowns, which have lasted for much of the financial year. However, this did not compensate for the full value of lost income, as only 75% of recoverable losses were subject to compensation, and no compensation was provided for losses on commercial income, such as from commercial property rentals, therefore the council has suffered all of the impact of these losses.</w:t>
      </w:r>
    </w:p>
    <w:p w:rsidR="00CA2278" w:rsidRPr="007204D1" w:rsidRDefault="00CA2278" w:rsidP="00D83052">
      <w:pPr>
        <w:ind w:left="720" w:hanging="720"/>
        <w:rPr>
          <w:rFonts w:ascii="Arial" w:hAnsi="Arial" w:cs="Arial"/>
          <w:highlight w:val="yellow"/>
        </w:rPr>
      </w:pPr>
    </w:p>
    <w:p w:rsidR="00BF40E6" w:rsidRDefault="00BF40E6" w:rsidP="00CE1CCE">
      <w:pPr>
        <w:rPr>
          <w:rFonts w:ascii="Arial" w:hAnsi="Arial" w:cs="Arial"/>
        </w:rPr>
      </w:pPr>
    </w:p>
    <w:p w:rsidR="00407864" w:rsidRPr="00AD3557" w:rsidRDefault="00D83052" w:rsidP="00CE1CCE">
      <w:pPr>
        <w:rPr>
          <w:rFonts w:ascii="Arial" w:hAnsi="Arial" w:cs="Arial"/>
          <w:b/>
        </w:rPr>
      </w:pPr>
      <w:r>
        <w:rPr>
          <w:rFonts w:ascii="Arial" w:hAnsi="Arial" w:cs="Arial"/>
          <w:b/>
        </w:rPr>
        <w:t>3.4</w:t>
      </w:r>
      <w:r w:rsidR="00CA5581">
        <w:rPr>
          <w:rFonts w:ascii="Arial" w:hAnsi="Arial" w:cs="Arial"/>
          <w:b/>
        </w:rPr>
        <w:tab/>
      </w:r>
      <w:r w:rsidR="00407864" w:rsidRPr="00AD3557">
        <w:rPr>
          <w:rFonts w:ascii="Arial" w:hAnsi="Arial" w:cs="Arial"/>
          <w:b/>
        </w:rPr>
        <w:t xml:space="preserve">General Fund Revenue </w:t>
      </w:r>
      <w:r w:rsidR="00AD3557" w:rsidRPr="00AD3557">
        <w:rPr>
          <w:rFonts w:ascii="Arial" w:hAnsi="Arial" w:cs="Arial"/>
          <w:b/>
        </w:rPr>
        <w:t>Outturn Position</w:t>
      </w:r>
    </w:p>
    <w:p w:rsidR="00407864" w:rsidRDefault="00407864" w:rsidP="00CE1CCE">
      <w:pPr>
        <w:rPr>
          <w:rFonts w:ascii="Arial" w:hAnsi="Arial" w:cs="Arial"/>
        </w:rPr>
      </w:pPr>
    </w:p>
    <w:p w:rsidR="00AD3557" w:rsidRDefault="00D83052" w:rsidP="00CE1CCE">
      <w:pPr>
        <w:ind w:left="720" w:hanging="720"/>
        <w:rPr>
          <w:rFonts w:ascii="Arial" w:hAnsi="Arial" w:cs="Arial"/>
        </w:rPr>
      </w:pPr>
      <w:r>
        <w:rPr>
          <w:rFonts w:ascii="Arial" w:hAnsi="Arial" w:cs="Arial"/>
        </w:rPr>
        <w:t>3.4</w:t>
      </w:r>
      <w:r w:rsidR="00CA5581">
        <w:rPr>
          <w:rFonts w:ascii="Arial" w:hAnsi="Arial" w:cs="Arial"/>
        </w:rPr>
        <w:t>.1</w:t>
      </w:r>
      <w:r w:rsidR="00CA5581">
        <w:rPr>
          <w:rFonts w:ascii="Arial" w:hAnsi="Arial" w:cs="Arial"/>
        </w:rPr>
        <w:tab/>
      </w:r>
      <w:r w:rsidR="00AD3557">
        <w:rPr>
          <w:rFonts w:ascii="Arial" w:hAnsi="Arial" w:cs="Arial"/>
        </w:rPr>
        <w:t>The General Fund contains all services that the Council is responsible for providing, other than services in relation to delivering its responsibility as a landlord to Council tenants.</w:t>
      </w:r>
    </w:p>
    <w:p w:rsidR="00AD3557" w:rsidRDefault="00AD3557" w:rsidP="00CE1CCE">
      <w:pPr>
        <w:rPr>
          <w:rFonts w:ascii="Arial" w:hAnsi="Arial" w:cs="Arial"/>
        </w:rPr>
      </w:pPr>
    </w:p>
    <w:p w:rsidR="00A35EE3" w:rsidRDefault="00D83052" w:rsidP="00CE1CCE">
      <w:pPr>
        <w:ind w:left="720" w:hanging="720"/>
        <w:rPr>
          <w:rFonts w:ascii="Arial" w:hAnsi="Arial" w:cs="Arial"/>
        </w:rPr>
      </w:pPr>
      <w:r>
        <w:rPr>
          <w:rFonts w:ascii="Arial" w:hAnsi="Arial" w:cs="Arial"/>
        </w:rPr>
        <w:t>3.4</w:t>
      </w:r>
      <w:r w:rsidR="00CA5581">
        <w:rPr>
          <w:rFonts w:ascii="Arial" w:hAnsi="Arial" w:cs="Arial"/>
        </w:rPr>
        <w:t>.2</w:t>
      </w:r>
      <w:r w:rsidR="00CA5581">
        <w:rPr>
          <w:rFonts w:ascii="Arial" w:hAnsi="Arial" w:cs="Arial"/>
        </w:rPr>
        <w:tab/>
      </w:r>
      <w:r w:rsidR="00407864">
        <w:rPr>
          <w:rFonts w:ascii="Arial" w:hAnsi="Arial" w:cs="Arial"/>
        </w:rPr>
        <w:t xml:space="preserve">For the </w:t>
      </w:r>
      <w:r w:rsidR="007204D1">
        <w:rPr>
          <w:rFonts w:ascii="Arial" w:hAnsi="Arial" w:cs="Arial"/>
        </w:rPr>
        <w:t>2021/22</w:t>
      </w:r>
      <w:r w:rsidR="000677A5">
        <w:rPr>
          <w:rFonts w:ascii="Arial" w:hAnsi="Arial" w:cs="Arial"/>
        </w:rPr>
        <w:t xml:space="preserve"> </w:t>
      </w:r>
      <w:r w:rsidR="00407864">
        <w:rPr>
          <w:rFonts w:ascii="Arial" w:hAnsi="Arial" w:cs="Arial"/>
        </w:rPr>
        <w:t>General Fund budget, the Council set a balanced budget which relied on reso</w:t>
      </w:r>
      <w:r w:rsidR="006E17AB">
        <w:rPr>
          <w:rFonts w:ascii="Arial" w:hAnsi="Arial" w:cs="Arial"/>
        </w:rPr>
        <w:t>urces being taken from balances and</w:t>
      </w:r>
      <w:r w:rsidR="00407864">
        <w:rPr>
          <w:rFonts w:ascii="Arial" w:hAnsi="Arial" w:cs="Arial"/>
        </w:rPr>
        <w:t xml:space="preserve"> reserves</w:t>
      </w:r>
      <w:r w:rsidR="006E17AB">
        <w:rPr>
          <w:rFonts w:ascii="Arial" w:hAnsi="Arial" w:cs="Arial"/>
        </w:rPr>
        <w:t>,</w:t>
      </w:r>
      <w:r w:rsidR="00407864">
        <w:rPr>
          <w:rFonts w:ascii="Arial" w:hAnsi="Arial" w:cs="Arial"/>
        </w:rPr>
        <w:t xml:space="preserve"> and a Transformation Programme </w:t>
      </w:r>
      <w:r w:rsidR="006E17AB">
        <w:rPr>
          <w:rFonts w:ascii="Arial" w:hAnsi="Arial" w:cs="Arial"/>
        </w:rPr>
        <w:t>aimed at</w:t>
      </w:r>
      <w:r w:rsidR="00407864">
        <w:rPr>
          <w:rFonts w:ascii="Arial" w:hAnsi="Arial" w:cs="Arial"/>
        </w:rPr>
        <w:t xml:space="preserve"> </w:t>
      </w:r>
      <w:r w:rsidR="00E613CD">
        <w:rPr>
          <w:rFonts w:ascii="Arial" w:hAnsi="Arial" w:cs="Arial"/>
        </w:rPr>
        <w:t xml:space="preserve">generating additional income and </w:t>
      </w:r>
      <w:r w:rsidR="00407864">
        <w:rPr>
          <w:rFonts w:ascii="Arial" w:hAnsi="Arial" w:cs="Arial"/>
        </w:rPr>
        <w:t>deliver</w:t>
      </w:r>
      <w:r w:rsidR="006E17AB">
        <w:rPr>
          <w:rFonts w:ascii="Arial" w:hAnsi="Arial" w:cs="Arial"/>
        </w:rPr>
        <w:t>ing</w:t>
      </w:r>
      <w:r w:rsidR="00407864">
        <w:rPr>
          <w:rFonts w:ascii="Arial" w:hAnsi="Arial" w:cs="Arial"/>
        </w:rPr>
        <w:t xml:space="preserve"> efficiency savings and cuts</w:t>
      </w:r>
      <w:r w:rsidR="006E17AB">
        <w:rPr>
          <w:rFonts w:ascii="Arial" w:hAnsi="Arial" w:cs="Arial"/>
        </w:rPr>
        <w:t xml:space="preserve"> against services </w:t>
      </w:r>
      <w:r w:rsidR="006E17AB" w:rsidRPr="00AD2C59">
        <w:rPr>
          <w:rFonts w:ascii="Arial" w:hAnsi="Arial" w:cs="Arial"/>
        </w:rPr>
        <w:t>totalling £</w:t>
      </w:r>
      <w:r w:rsidR="00AD2C59" w:rsidRPr="00AD2C59">
        <w:rPr>
          <w:rFonts w:ascii="Arial" w:hAnsi="Arial" w:cs="Arial"/>
        </w:rPr>
        <w:t>3.</w:t>
      </w:r>
      <w:r w:rsidR="00AD2C59">
        <w:rPr>
          <w:rFonts w:ascii="Arial" w:hAnsi="Arial" w:cs="Arial"/>
        </w:rPr>
        <w:t>403m</w:t>
      </w:r>
      <w:r w:rsidR="00A35EE3" w:rsidRPr="00947959">
        <w:rPr>
          <w:rFonts w:ascii="Arial" w:hAnsi="Arial" w:cs="Arial"/>
        </w:rPr>
        <w:t>.</w:t>
      </w:r>
      <w:r w:rsidR="00A35EE3">
        <w:rPr>
          <w:rFonts w:ascii="Arial" w:hAnsi="Arial" w:cs="Arial"/>
        </w:rPr>
        <w:t xml:space="preserve">  At the end of the financial year, the General Fund achieved a surplus position against its budget of </w:t>
      </w:r>
      <w:r w:rsidR="00695B08" w:rsidRPr="00695B08">
        <w:rPr>
          <w:rFonts w:ascii="Arial" w:hAnsi="Arial" w:cs="Arial"/>
        </w:rPr>
        <w:t>£</w:t>
      </w:r>
      <w:r w:rsidR="007204D1">
        <w:rPr>
          <w:rFonts w:ascii="Arial" w:hAnsi="Arial" w:cs="Arial"/>
        </w:rPr>
        <w:t>1.019</w:t>
      </w:r>
      <w:r w:rsidR="007D2E3E">
        <w:rPr>
          <w:rFonts w:ascii="Arial" w:hAnsi="Arial" w:cs="Arial"/>
        </w:rPr>
        <w:t>m</w:t>
      </w:r>
      <w:r w:rsidR="00A105E6" w:rsidRPr="00F007A3">
        <w:rPr>
          <w:rFonts w:ascii="Arial" w:hAnsi="Arial" w:cs="Arial"/>
        </w:rPr>
        <w:t>.</w:t>
      </w:r>
      <w:r w:rsidR="00A105E6">
        <w:rPr>
          <w:rFonts w:ascii="Arial" w:hAnsi="Arial" w:cs="Arial"/>
        </w:rPr>
        <w:t xml:space="preserve"> This has been </w:t>
      </w:r>
      <w:r w:rsidR="00A774E9">
        <w:rPr>
          <w:rFonts w:ascii="Arial" w:hAnsi="Arial" w:cs="Arial"/>
        </w:rPr>
        <w:t>transferred to Earmarked Reserves</w:t>
      </w:r>
      <w:r w:rsidR="00A105E6">
        <w:rPr>
          <w:rFonts w:ascii="Arial" w:hAnsi="Arial" w:cs="Arial"/>
        </w:rPr>
        <w:t xml:space="preserve"> </w:t>
      </w:r>
      <w:r w:rsidR="006A6905">
        <w:rPr>
          <w:rFonts w:ascii="Arial" w:hAnsi="Arial" w:cs="Arial"/>
          <w:color w:val="000000"/>
        </w:rPr>
        <w:t xml:space="preserve">to </w:t>
      </w:r>
      <w:r w:rsidR="006A6905" w:rsidRPr="00D83052">
        <w:rPr>
          <w:rFonts w:ascii="Arial" w:hAnsi="Arial" w:cs="Arial"/>
          <w:color w:val="000000"/>
        </w:rPr>
        <w:t xml:space="preserve">mitigate against </w:t>
      </w:r>
      <w:r w:rsidR="00A105E6" w:rsidRPr="00D83052">
        <w:rPr>
          <w:rFonts w:ascii="Arial" w:hAnsi="Arial" w:cs="Arial"/>
          <w:color w:val="000000"/>
        </w:rPr>
        <w:t>expected future budget pressures.</w:t>
      </w:r>
    </w:p>
    <w:p w:rsidR="00A35EE3" w:rsidRDefault="00A35EE3" w:rsidP="00CE1CCE">
      <w:pPr>
        <w:rPr>
          <w:rFonts w:ascii="Arial" w:hAnsi="Arial" w:cs="Arial"/>
        </w:rPr>
      </w:pPr>
    </w:p>
    <w:p w:rsidR="007204D1" w:rsidRDefault="00D83052" w:rsidP="007204D1">
      <w:pPr>
        <w:ind w:left="720" w:hanging="720"/>
        <w:rPr>
          <w:rFonts w:ascii="Arial" w:hAnsi="Arial" w:cs="Arial"/>
        </w:rPr>
      </w:pPr>
      <w:r>
        <w:rPr>
          <w:rFonts w:ascii="Arial" w:hAnsi="Arial" w:cs="Arial"/>
        </w:rPr>
        <w:t>3.4</w:t>
      </w:r>
      <w:r w:rsidR="00CA5581">
        <w:rPr>
          <w:rFonts w:ascii="Arial" w:hAnsi="Arial" w:cs="Arial"/>
        </w:rPr>
        <w:t>.3</w:t>
      </w:r>
      <w:r w:rsidR="00CA5581">
        <w:rPr>
          <w:rFonts w:ascii="Arial" w:hAnsi="Arial" w:cs="Arial"/>
        </w:rPr>
        <w:tab/>
      </w:r>
      <w:r w:rsidR="009A59EA">
        <w:rPr>
          <w:rFonts w:ascii="Arial" w:hAnsi="Arial" w:cs="Arial"/>
        </w:rPr>
        <w:t xml:space="preserve">Table 1, </w:t>
      </w:r>
      <w:r w:rsidR="00A35EE3">
        <w:rPr>
          <w:rFonts w:ascii="Arial" w:hAnsi="Arial" w:cs="Arial"/>
        </w:rPr>
        <w:t xml:space="preserve">shows </w:t>
      </w:r>
      <w:r w:rsidR="006E17AB">
        <w:rPr>
          <w:rFonts w:ascii="Arial" w:hAnsi="Arial" w:cs="Arial"/>
        </w:rPr>
        <w:t xml:space="preserve">a </w:t>
      </w:r>
      <w:r w:rsidR="00A35EE3">
        <w:rPr>
          <w:rFonts w:ascii="Arial" w:hAnsi="Arial" w:cs="Arial"/>
        </w:rPr>
        <w:t xml:space="preserve">breakdown of the surplus position by </w:t>
      </w:r>
      <w:r w:rsidR="00D17152">
        <w:rPr>
          <w:rFonts w:ascii="Arial" w:hAnsi="Arial" w:cs="Arial"/>
        </w:rPr>
        <w:t>Head of Service</w:t>
      </w:r>
      <w:r w:rsidR="00A35EE3">
        <w:rPr>
          <w:rFonts w:ascii="Arial" w:hAnsi="Arial" w:cs="Arial"/>
        </w:rPr>
        <w:t xml:space="preserve">, </w:t>
      </w:r>
      <w:r w:rsidR="008376D1">
        <w:rPr>
          <w:rFonts w:ascii="Arial" w:hAnsi="Arial" w:cs="Arial"/>
        </w:rPr>
        <w:t xml:space="preserve">with further information provided within the Appendices to this report of the significant variances by each of the </w:t>
      </w:r>
      <w:r w:rsidR="009A59EA">
        <w:rPr>
          <w:rFonts w:ascii="Arial" w:hAnsi="Arial" w:cs="Arial"/>
        </w:rPr>
        <w:t>Head of Service</w:t>
      </w:r>
      <w:r w:rsidR="00A35EE3">
        <w:rPr>
          <w:rFonts w:ascii="Arial" w:hAnsi="Arial" w:cs="Arial"/>
        </w:rPr>
        <w:t>:</w:t>
      </w:r>
    </w:p>
    <w:p w:rsidR="007204D1" w:rsidRDefault="007204D1" w:rsidP="007204D1">
      <w:pPr>
        <w:ind w:left="720" w:hanging="720"/>
        <w:rPr>
          <w:rFonts w:ascii="Arial" w:hAnsi="Arial" w:cs="Arial"/>
        </w:rPr>
      </w:pPr>
    </w:p>
    <w:p w:rsidR="007204D1" w:rsidRDefault="007204D1" w:rsidP="007204D1">
      <w:pPr>
        <w:ind w:left="720" w:hanging="720"/>
        <w:rPr>
          <w:rFonts w:ascii="Arial" w:hAnsi="Arial" w:cs="Arial"/>
        </w:rPr>
      </w:pPr>
    </w:p>
    <w:p w:rsidR="007204D1" w:rsidRDefault="00A35EE3" w:rsidP="007204D1">
      <w:pPr>
        <w:ind w:left="720" w:hanging="720"/>
        <w:rPr>
          <w:rFonts w:ascii="Arial" w:hAnsi="Arial" w:cs="Arial"/>
        </w:rPr>
      </w:pPr>
      <w:r>
        <w:rPr>
          <w:rFonts w:ascii="Arial" w:hAnsi="Arial" w:cs="Arial"/>
        </w:rPr>
        <w:t>Table 1</w:t>
      </w:r>
      <w:r w:rsidR="00D17152">
        <w:rPr>
          <w:rFonts w:ascii="Arial" w:hAnsi="Arial" w:cs="Arial"/>
        </w:rPr>
        <w:t xml:space="preserve"> – General Fund 20</w:t>
      </w:r>
      <w:r w:rsidR="007204D1">
        <w:rPr>
          <w:rFonts w:ascii="Arial" w:hAnsi="Arial" w:cs="Arial"/>
        </w:rPr>
        <w:t>21/22</w:t>
      </w:r>
      <w:r w:rsidR="008376D1">
        <w:rPr>
          <w:rFonts w:ascii="Arial" w:hAnsi="Arial" w:cs="Arial"/>
        </w:rPr>
        <w:t xml:space="preserve"> </w:t>
      </w:r>
      <w:r w:rsidR="00AD3557">
        <w:rPr>
          <w:rFonts w:ascii="Arial" w:hAnsi="Arial" w:cs="Arial"/>
        </w:rPr>
        <w:t xml:space="preserve">Revenue </w:t>
      </w:r>
      <w:r w:rsidR="008376D1">
        <w:rPr>
          <w:rFonts w:ascii="Arial" w:hAnsi="Arial" w:cs="Arial"/>
        </w:rPr>
        <w:t>Outturn Position</w:t>
      </w:r>
    </w:p>
    <w:p w:rsidR="007204D1" w:rsidRDefault="007204D1" w:rsidP="007204D1">
      <w:pPr>
        <w:ind w:left="720" w:hanging="720"/>
        <w:rPr>
          <w:rFonts w:ascii="Arial" w:hAnsi="Arial" w:cs="Arial"/>
        </w:rPr>
      </w:pPr>
    </w:p>
    <w:p w:rsidR="00695B08" w:rsidRDefault="00790A3F">
      <w:pPr>
        <w:rPr>
          <w:rFonts w:ascii="Arial" w:hAnsi="Arial" w:cs="Arial"/>
        </w:rPr>
      </w:pPr>
      <w:r w:rsidRPr="00790A3F">
        <w:rPr>
          <w:noProof/>
        </w:rPr>
        <w:drawing>
          <wp:inline distT="0" distB="0" distL="0" distR="0">
            <wp:extent cx="4723130" cy="5200015"/>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3130" cy="5200015"/>
                    </a:xfrm>
                    <a:prstGeom prst="rect">
                      <a:avLst/>
                    </a:prstGeom>
                    <a:noFill/>
                    <a:ln>
                      <a:noFill/>
                    </a:ln>
                  </pic:spPr>
                </pic:pic>
              </a:graphicData>
            </a:graphic>
          </wp:inline>
        </w:drawing>
      </w:r>
    </w:p>
    <w:p w:rsidR="007204D1" w:rsidRDefault="007204D1">
      <w:pPr>
        <w:rPr>
          <w:rFonts w:ascii="Arial" w:hAnsi="Arial" w:cs="Arial"/>
        </w:rPr>
      </w:pPr>
    </w:p>
    <w:p w:rsidR="007204D1" w:rsidRDefault="007204D1">
      <w:pPr>
        <w:rPr>
          <w:rFonts w:ascii="Arial" w:hAnsi="Arial" w:cs="Arial"/>
        </w:rPr>
      </w:pPr>
    </w:p>
    <w:p w:rsidR="008376D1" w:rsidRDefault="008376D1">
      <w:pPr>
        <w:rPr>
          <w:rFonts w:ascii="Arial" w:hAnsi="Arial" w:cs="Arial"/>
        </w:rPr>
        <w:sectPr w:rsidR="008376D1" w:rsidSect="007204D1">
          <w:pgSz w:w="11906" w:h="16838"/>
          <w:pgMar w:top="1440" w:right="1440" w:bottom="1440" w:left="1440" w:header="709" w:footer="709" w:gutter="0"/>
          <w:cols w:space="708"/>
          <w:docGrid w:linePitch="360"/>
        </w:sectPr>
      </w:pPr>
      <w:r>
        <w:rPr>
          <w:rFonts w:ascii="Arial" w:hAnsi="Arial" w:cs="Arial"/>
        </w:rPr>
        <w:t xml:space="preserve">(Where a </w:t>
      </w:r>
      <w:r w:rsidR="005A174D">
        <w:rPr>
          <w:rFonts w:ascii="Arial" w:hAnsi="Arial" w:cs="Arial"/>
        </w:rPr>
        <w:t>(-) negative</w:t>
      </w:r>
      <w:r>
        <w:rPr>
          <w:rFonts w:ascii="Arial" w:hAnsi="Arial" w:cs="Arial"/>
        </w:rPr>
        <w:t xml:space="preserve"> variance indicates a surplus against the budget, and a </w:t>
      </w:r>
      <w:r w:rsidR="005A174D">
        <w:rPr>
          <w:rFonts w:ascii="Arial" w:hAnsi="Arial" w:cs="Arial"/>
        </w:rPr>
        <w:t>positive</w:t>
      </w:r>
      <w:r w:rsidR="006E17AB">
        <w:rPr>
          <w:rFonts w:ascii="Arial" w:hAnsi="Arial" w:cs="Arial"/>
        </w:rPr>
        <w:t xml:space="preserve"> </w:t>
      </w:r>
      <w:r>
        <w:rPr>
          <w:rFonts w:ascii="Arial" w:hAnsi="Arial" w:cs="Arial"/>
        </w:rPr>
        <w:t>variance indicates a deficit against the budget).</w:t>
      </w:r>
    </w:p>
    <w:p w:rsidR="00A35EE3" w:rsidRDefault="00D83052" w:rsidP="00CE1CCE">
      <w:pPr>
        <w:ind w:left="720" w:hanging="720"/>
        <w:rPr>
          <w:rFonts w:ascii="Arial" w:hAnsi="Arial" w:cs="Arial"/>
        </w:rPr>
      </w:pPr>
      <w:r>
        <w:rPr>
          <w:rFonts w:ascii="Arial" w:hAnsi="Arial" w:cs="Arial"/>
        </w:rPr>
        <w:t>3.4</w:t>
      </w:r>
      <w:r w:rsidR="00CA5581">
        <w:rPr>
          <w:rFonts w:ascii="Arial" w:hAnsi="Arial" w:cs="Arial"/>
        </w:rPr>
        <w:t>.4</w:t>
      </w:r>
      <w:r w:rsidR="00CA5581">
        <w:rPr>
          <w:rFonts w:ascii="Arial" w:hAnsi="Arial" w:cs="Arial"/>
        </w:rPr>
        <w:tab/>
      </w:r>
      <w:r w:rsidR="00695B08">
        <w:rPr>
          <w:rFonts w:ascii="Arial" w:hAnsi="Arial" w:cs="Arial"/>
        </w:rPr>
        <w:t>The General Fund surplus has been transferred to Earmarked Reserves</w:t>
      </w:r>
      <w:r w:rsidR="003B46A9">
        <w:rPr>
          <w:rFonts w:ascii="Arial" w:hAnsi="Arial" w:cs="Arial"/>
        </w:rPr>
        <w:t xml:space="preserve"> at year-end</w:t>
      </w:r>
      <w:r w:rsidR="00695B08">
        <w:rPr>
          <w:rFonts w:ascii="Arial" w:hAnsi="Arial" w:cs="Arial"/>
        </w:rPr>
        <w:t>, meaning that Gen</w:t>
      </w:r>
      <w:r w:rsidR="00E07A22">
        <w:rPr>
          <w:rFonts w:ascii="Arial" w:hAnsi="Arial" w:cs="Arial"/>
        </w:rPr>
        <w:t xml:space="preserve">eral Balances have remained at </w:t>
      </w:r>
      <w:r w:rsidR="00240A95">
        <w:rPr>
          <w:rFonts w:ascii="Arial" w:hAnsi="Arial" w:cs="Arial"/>
        </w:rPr>
        <w:t>£</w:t>
      </w:r>
      <w:r w:rsidR="00695B08">
        <w:rPr>
          <w:rFonts w:ascii="Arial" w:hAnsi="Arial" w:cs="Arial"/>
        </w:rPr>
        <w:t>2.</w:t>
      </w:r>
      <w:r w:rsidR="007D2E3E">
        <w:rPr>
          <w:rFonts w:ascii="Arial" w:hAnsi="Arial" w:cs="Arial"/>
        </w:rPr>
        <w:t>347</w:t>
      </w:r>
      <w:r w:rsidR="00695B08">
        <w:rPr>
          <w:rFonts w:ascii="Arial" w:hAnsi="Arial" w:cs="Arial"/>
        </w:rPr>
        <w:t xml:space="preserve">m, </w:t>
      </w:r>
      <w:r w:rsidR="008376D1">
        <w:rPr>
          <w:rFonts w:ascii="Arial" w:hAnsi="Arial" w:cs="Arial"/>
        </w:rPr>
        <w:t>as set out in the following Table:</w:t>
      </w:r>
    </w:p>
    <w:p w:rsidR="008376D1" w:rsidRDefault="008376D1" w:rsidP="00CE1CCE">
      <w:pPr>
        <w:rPr>
          <w:rFonts w:ascii="Arial" w:hAnsi="Arial" w:cs="Arial"/>
        </w:rPr>
      </w:pPr>
    </w:p>
    <w:p w:rsidR="008376D1" w:rsidRDefault="008376D1" w:rsidP="00CE1CCE">
      <w:pPr>
        <w:ind w:firstLine="720"/>
        <w:rPr>
          <w:rFonts w:ascii="Arial" w:hAnsi="Arial" w:cs="Arial"/>
        </w:rPr>
      </w:pPr>
      <w:r>
        <w:rPr>
          <w:rFonts w:ascii="Arial" w:hAnsi="Arial" w:cs="Arial"/>
        </w:rPr>
        <w:t>Table 2 – Genera</w:t>
      </w:r>
      <w:r w:rsidR="007204D1">
        <w:rPr>
          <w:rFonts w:ascii="Arial" w:hAnsi="Arial" w:cs="Arial"/>
        </w:rPr>
        <w:t>l Fund Balances at 31 March 2022</w:t>
      </w:r>
    </w:p>
    <w:p w:rsidR="008376D1" w:rsidRDefault="008376D1" w:rsidP="00CE1CCE">
      <w:pPr>
        <w:rPr>
          <w:rFonts w:ascii="Arial" w:hAnsi="Arial" w:cs="Arial"/>
        </w:rPr>
      </w:pPr>
    </w:p>
    <w:tbl>
      <w:tblPr>
        <w:tblStyle w:val="TableGrid"/>
        <w:tblW w:w="0" w:type="auto"/>
        <w:tblInd w:w="817" w:type="dxa"/>
        <w:tblLook w:val="04A0" w:firstRow="1" w:lastRow="0" w:firstColumn="1" w:lastColumn="0" w:noHBand="0" w:noVBand="1"/>
      </w:tblPr>
      <w:tblGrid>
        <w:gridCol w:w="6521"/>
        <w:gridCol w:w="1559"/>
      </w:tblGrid>
      <w:tr w:rsidR="007D2E3E" w:rsidRPr="00E61962" w:rsidTr="007D2E3E">
        <w:tc>
          <w:tcPr>
            <w:tcW w:w="6521" w:type="dxa"/>
          </w:tcPr>
          <w:p w:rsidR="007D2E3E" w:rsidRPr="00E61962" w:rsidRDefault="007D2E3E" w:rsidP="00CE1CCE">
            <w:pPr>
              <w:rPr>
                <w:rFonts w:ascii="Arial" w:hAnsi="Arial" w:cs="Arial"/>
              </w:rPr>
            </w:pPr>
            <w:r w:rsidRPr="00E61962">
              <w:rPr>
                <w:rFonts w:ascii="Arial" w:hAnsi="Arial" w:cs="Arial"/>
              </w:rPr>
              <w:t>General Fund General Balances</w:t>
            </w:r>
          </w:p>
        </w:tc>
        <w:tc>
          <w:tcPr>
            <w:tcW w:w="1559" w:type="dxa"/>
          </w:tcPr>
          <w:p w:rsidR="007D2E3E" w:rsidRPr="00E61962" w:rsidRDefault="007D2E3E" w:rsidP="00CE1CCE">
            <w:pPr>
              <w:rPr>
                <w:rFonts w:ascii="Arial" w:hAnsi="Arial" w:cs="Arial"/>
              </w:rPr>
            </w:pPr>
            <w:r w:rsidRPr="00E61962">
              <w:rPr>
                <w:rFonts w:ascii="Arial" w:hAnsi="Arial" w:cs="Arial"/>
              </w:rPr>
              <w:t>£000</w:t>
            </w:r>
          </w:p>
        </w:tc>
      </w:tr>
      <w:tr w:rsidR="007D2E3E" w:rsidRPr="00E61962" w:rsidTr="007D2E3E">
        <w:tc>
          <w:tcPr>
            <w:tcW w:w="6521" w:type="dxa"/>
          </w:tcPr>
          <w:p w:rsidR="007D2E3E" w:rsidRPr="00E61962" w:rsidRDefault="007204D1" w:rsidP="00CE1CCE">
            <w:pPr>
              <w:rPr>
                <w:rFonts w:ascii="Arial" w:hAnsi="Arial" w:cs="Arial"/>
              </w:rPr>
            </w:pPr>
            <w:r>
              <w:rPr>
                <w:rFonts w:ascii="Arial" w:hAnsi="Arial" w:cs="Arial"/>
              </w:rPr>
              <w:t>Balance at 1 April 2021</w:t>
            </w:r>
          </w:p>
        </w:tc>
        <w:tc>
          <w:tcPr>
            <w:tcW w:w="1559" w:type="dxa"/>
          </w:tcPr>
          <w:p w:rsidR="007D2E3E" w:rsidRPr="00E61962" w:rsidRDefault="007D2E3E" w:rsidP="00CE1CCE">
            <w:pPr>
              <w:rPr>
                <w:rFonts w:ascii="Arial" w:hAnsi="Arial" w:cs="Arial"/>
              </w:rPr>
            </w:pPr>
            <w:r>
              <w:rPr>
                <w:rFonts w:ascii="Arial" w:hAnsi="Arial" w:cs="Arial"/>
              </w:rPr>
              <w:t>-2,347</w:t>
            </w:r>
          </w:p>
        </w:tc>
      </w:tr>
      <w:tr w:rsidR="007D2E3E" w:rsidRPr="00E61962" w:rsidTr="007D2E3E">
        <w:tc>
          <w:tcPr>
            <w:tcW w:w="6521" w:type="dxa"/>
          </w:tcPr>
          <w:p w:rsidR="007D2E3E" w:rsidRPr="00E61962" w:rsidRDefault="007D2E3E" w:rsidP="00CE1CCE">
            <w:pPr>
              <w:rPr>
                <w:rFonts w:ascii="Arial" w:hAnsi="Arial" w:cs="Arial"/>
              </w:rPr>
            </w:pPr>
          </w:p>
        </w:tc>
        <w:tc>
          <w:tcPr>
            <w:tcW w:w="1559" w:type="dxa"/>
          </w:tcPr>
          <w:p w:rsidR="007D2E3E" w:rsidRPr="00E61962" w:rsidRDefault="007D2E3E" w:rsidP="00CE1CCE">
            <w:pPr>
              <w:rPr>
                <w:rFonts w:ascii="Arial" w:hAnsi="Arial" w:cs="Arial"/>
              </w:rPr>
            </w:pPr>
          </w:p>
        </w:tc>
      </w:tr>
      <w:tr w:rsidR="007D2E3E" w:rsidRPr="00E61962" w:rsidTr="007D2E3E">
        <w:tc>
          <w:tcPr>
            <w:tcW w:w="6521" w:type="dxa"/>
          </w:tcPr>
          <w:p w:rsidR="007D2E3E" w:rsidRPr="00E61962" w:rsidRDefault="00D52422" w:rsidP="00CE1CCE">
            <w:pPr>
              <w:rPr>
                <w:rFonts w:ascii="Arial" w:hAnsi="Arial" w:cs="Arial"/>
              </w:rPr>
            </w:pPr>
            <w:r>
              <w:rPr>
                <w:rFonts w:ascii="Arial" w:hAnsi="Arial" w:cs="Arial"/>
              </w:rPr>
              <w:t>Y</w:t>
            </w:r>
            <w:r w:rsidR="007D2E3E" w:rsidRPr="00E61962">
              <w:rPr>
                <w:rFonts w:ascii="Arial" w:hAnsi="Arial" w:cs="Arial"/>
              </w:rPr>
              <w:t xml:space="preserve">ear-end </w:t>
            </w:r>
            <w:r w:rsidR="007204D1">
              <w:rPr>
                <w:rFonts w:ascii="Arial" w:hAnsi="Arial" w:cs="Arial"/>
              </w:rPr>
              <w:t>position 2021/22</w:t>
            </w:r>
          </w:p>
        </w:tc>
        <w:tc>
          <w:tcPr>
            <w:tcW w:w="1559" w:type="dxa"/>
          </w:tcPr>
          <w:p w:rsidR="007D2E3E" w:rsidRPr="00E61962" w:rsidRDefault="007D2E3E" w:rsidP="00CE1CCE">
            <w:pPr>
              <w:rPr>
                <w:rFonts w:ascii="Arial" w:hAnsi="Arial" w:cs="Arial"/>
              </w:rPr>
            </w:pPr>
            <w:r>
              <w:rPr>
                <w:rFonts w:ascii="Arial" w:hAnsi="Arial" w:cs="Arial"/>
              </w:rPr>
              <w:t>0</w:t>
            </w:r>
          </w:p>
        </w:tc>
      </w:tr>
      <w:tr w:rsidR="007D2E3E" w:rsidRPr="00E61962" w:rsidTr="007D2E3E">
        <w:tc>
          <w:tcPr>
            <w:tcW w:w="6521" w:type="dxa"/>
          </w:tcPr>
          <w:p w:rsidR="007D2E3E" w:rsidRPr="00E61962" w:rsidRDefault="007D2E3E" w:rsidP="00CE1CCE">
            <w:pPr>
              <w:rPr>
                <w:rFonts w:ascii="Arial" w:hAnsi="Arial" w:cs="Arial"/>
              </w:rPr>
            </w:pPr>
          </w:p>
        </w:tc>
        <w:tc>
          <w:tcPr>
            <w:tcW w:w="1559" w:type="dxa"/>
          </w:tcPr>
          <w:p w:rsidR="007D2E3E" w:rsidRPr="00E61962" w:rsidRDefault="007D2E3E" w:rsidP="00CE1CCE">
            <w:pPr>
              <w:rPr>
                <w:rFonts w:ascii="Arial" w:hAnsi="Arial" w:cs="Arial"/>
              </w:rPr>
            </w:pPr>
          </w:p>
        </w:tc>
      </w:tr>
      <w:tr w:rsidR="007D2E3E" w:rsidRPr="00E61962" w:rsidTr="007D2E3E">
        <w:tc>
          <w:tcPr>
            <w:tcW w:w="6521" w:type="dxa"/>
          </w:tcPr>
          <w:p w:rsidR="007D2E3E" w:rsidRPr="00515196" w:rsidRDefault="007D2E3E" w:rsidP="00CE1CCE">
            <w:pPr>
              <w:rPr>
                <w:rFonts w:ascii="Arial" w:hAnsi="Arial" w:cs="Arial"/>
              </w:rPr>
            </w:pPr>
            <w:r w:rsidRPr="00515196">
              <w:rPr>
                <w:rFonts w:ascii="Arial" w:hAnsi="Arial" w:cs="Arial"/>
              </w:rPr>
              <w:t xml:space="preserve">Balance </w:t>
            </w:r>
            <w:r w:rsidR="007204D1" w:rsidRPr="00515196">
              <w:rPr>
                <w:rFonts w:ascii="Arial" w:hAnsi="Arial" w:cs="Arial"/>
              </w:rPr>
              <w:t>at 31 March 2022</w:t>
            </w:r>
          </w:p>
        </w:tc>
        <w:tc>
          <w:tcPr>
            <w:tcW w:w="1559" w:type="dxa"/>
          </w:tcPr>
          <w:p w:rsidR="007D2E3E" w:rsidRPr="00515196" w:rsidRDefault="007D2E3E" w:rsidP="00CE1CCE">
            <w:pPr>
              <w:rPr>
                <w:rFonts w:ascii="Arial" w:hAnsi="Arial" w:cs="Arial"/>
              </w:rPr>
            </w:pPr>
            <w:r w:rsidRPr="00515196">
              <w:rPr>
                <w:rFonts w:ascii="Arial" w:hAnsi="Arial" w:cs="Arial"/>
                <w:b/>
              </w:rPr>
              <w:t>-2,347</w:t>
            </w:r>
          </w:p>
        </w:tc>
      </w:tr>
    </w:tbl>
    <w:p w:rsidR="00637CD1" w:rsidRDefault="00637CD1" w:rsidP="00CE1CCE">
      <w:pPr>
        <w:rPr>
          <w:rFonts w:ascii="Arial" w:hAnsi="Arial" w:cs="Arial"/>
        </w:rPr>
      </w:pPr>
    </w:p>
    <w:p w:rsidR="00637CD1" w:rsidRDefault="006E17AB" w:rsidP="00CE1CCE">
      <w:pPr>
        <w:ind w:left="720" w:hanging="720"/>
        <w:rPr>
          <w:rFonts w:ascii="Arial" w:hAnsi="Arial" w:cs="Arial"/>
        </w:rPr>
      </w:pPr>
      <w:r>
        <w:rPr>
          <w:rFonts w:ascii="Arial" w:hAnsi="Arial" w:cs="Arial"/>
        </w:rPr>
        <w:t>3.</w:t>
      </w:r>
      <w:r w:rsidR="00D83052">
        <w:rPr>
          <w:rFonts w:ascii="Arial" w:hAnsi="Arial" w:cs="Arial"/>
        </w:rPr>
        <w:t>4</w:t>
      </w:r>
      <w:r w:rsidRPr="00515196">
        <w:rPr>
          <w:rFonts w:ascii="Arial" w:hAnsi="Arial" w:cs="Arial"/>
        </w:rPr>
        <w:t>.5</w:t>
      </w:r>
      <w:r w:rsidRPr="00515196">
        <w:rPr>
          <w:rFonts w:ascii="Arial" w:hAnsi="Arial" w:cs="Arial"/>
        </w:rPr>
        <w:tab/>
      </w:r>
      <w:r w:rsidR="00637CD1" w:rsidRPr="00515196">
        <w:rPr>
          <w:rFonts w:ascii="Arial" w:hAnsi="Arial" w:cs="Arial"/>
        </w:rPr>
        <w:t>At the 31 March 20</w:t>
      </w:r>
      <w:r w:rsidR="007204D1" w:rsidRPr="00515196">
        <w:rPr>
          <w:rFonts w:ascii="Arial" w:hAnsi="Arial" w:cs="Arial"/>
        </w:rPr>
        <w:t>22</w:t>
      </w:r>
      <w:r w:rsidR="00637CD1" w:rsidRPr="00515196">
        <w:rPr>
          <w:rFonts w:ascii="Arial" w:hAnsi="Arial" w:cs="Arial"/>
        </w:rPr>
        <w:t>, General Fund Balances stood at £</w:t>
      </w:r>
      <w:r w:rsidR="00695B08" w:rsidRPr="00515196">
        <w:rPr>
          <w:rFonts w:ascii="Arial" w:hAnsi="Arial" w:cs="Arial"/>
        </w:rPr>
        <w:t>2.347</w:t>
      </w:r>
      <w:r w:rsidR="005E2459" w:rsidRPr="00515196">
        <w:rPr>
          <w:rFonts w:ascii="Arial" w:hAnsi="Arial" w:cs="Arial"/>
        </w:rPr>
        <w:t>m</w:t>
      </w:r>
      <w:r w:rsidR="00637CD1" w:rsidRPr="00515196">
        <w:rPr>
          <w:rFonts w:ascii="Arial" w:hAnsi="Arial" w:cs="Arial"/>
        </w:rPr>
        <w:t xml:space="preserve"> which is £</w:t>
      </w:r>
      <w:r w:rsidR="00695B08" w:rsidRPr="00515196">
        <w:rPr>
          <w:rFonts w:ascii="Arial" w:hAnsi="Arial" w:cs="Arial"/>
        </w:rPr>
        <w:t>247</w:t>
      </w:r>
      <w:r w:rsidR="00637CD1" w:rsidRPr="00515196">
        <w:rPr>
          <w:rFonts w:ascii="Arial" w:hAnsi="Arial" w:cs="Arial"/>
        </w:rPr>
        <w:t>,000 above the minimum level of balances the Council approved as part</w:t>
      </w:r>
      <w:r w:rsidR="007F6BB6" w:rsidRPr="00515196">
        <w:rPr>
          <w:rFonts w:ascii="Arial" w:hAnsi="Arial" w:cs="Arial"/>
        </w:rPr>
        <w:t xml:space="preserve"> of the budget setting process.</w:t>
      </w:r>
    </w:p>
    <w:p w:rsidR="00637CD1" w:rsidRDefault="00637CD1" w:rsidP="00CE1CCE">
      <w:pPr>
        <w:rPr>
          <w:rFonts w:ascii="Arial" w:hAnsi="Arial" w:cs="Arial"/>
        </w:rPr>
      </w:pPr>
    </w:p>
    <w:p w:rsidR="00637CD1" w:rsidRPr="00CE46CD" w:rsidRDefault="00D83052" w:rsidP="00CE1CCE">
      <w:pPr>
        <w:rPr>
          <w:rFonts w:ascii="Arial" w:hAnsi="Arial" w:cs="Arial"/>
          <w:b/>
        </w:rPr>
      </w:pPr>
      <w:r>
        <w:rPr>
          <w:rFonts w:ascii="Arial" w:hAnsi="Arial" w:cs="Arial"/>
          <w:b/>
        </w:rPr>
        <w:t>3.5</w:t>
      </w:r>
      <w:r w:rsidR="006E17AB">
        <w:rPr>
          <w:rFonts w:ascii="Arial" w:hAnsi="Arial" w:cs="Arial"/>
          <w:b/>
        </w:rPr>
        <w:tab/>
      </w:r>
      <w:r w:rsidR="00AD3557" w:rsidRPr="00CE46CD">
        <w:rPr>
          <w:rFonts w:ascii="Arial" w:hAnsi="Arial" w:cs="Arial"/>
          <w:b/>
        </w:rPr>
        <w:t>Housing Revenue Account (HRA) Revenue Outturn Position</w:t>
      </w:r>
    </w:p>
    <w:p w:rsidR="00637CD1" w:rsidRDefault="00637CD1" w:rsidP="00CE1CCE">
      <w:pPr>
        <w:rPr>
          <w:rFonts w:ascii="Arial" w:hAnsi="Arial" w:cs="Arial"/>
        </w:rPr>
      </w:pPr>
    </w:p>
    <w:p w:rsidR="00AD3557" w:rsidRDefault="00D83052" w:rsidP="00CE1CCE">
      <w:pPr>
        <w:ind w:left="720" w:hanging="720"/>
        <w:rPr>
          <w:rFonts w:ascii="Arial" w:hAnsi="Arial" w:cs="Arial"/>
        </w:rPr>
      </w:pPr>
      <w:r>
        <w:rPr>
          <w:rFonts w:ascii="Arial" w:hAnsi="Arial" w:cs="Arial"/>
        </w:rPr>
        <w:t>3.5</w:t>
      </w:r>
      <w:r w:rsidR="006E17AB">
        <w:rPr>
          <w:rFonts w:ascii="Arial" w:hAnsi="Arial" w:cs="Arial"/>
        </w:rPr>
        <w:t>.1</w:t>
      </w:r>
      <w:r w:rsidR="006E17AB">
        <w:rPr>
          <w:rFonts w:ascii="Arial" w:hAnsi="Arial" w:cs="Arial"/>
        </w:rPr>
        <w:tab/>
      </w:r>
      <w:r w:rsidR="00AD3557">
        <w:rPr>
          <w:rFonts w:ascii="Arial" w:hAnsi="Arial" w:cs="Arial"/>
        </w:rPr>
        <w:t>The Housing Revenue Account contains all the transactions relating to the provision, maintenance and management of the Council’s housing stock in its role of landlord.</w:t>
      </w:r>
    </w:p>
    <w:p w:rsidR="00AD3557" w:rsidRDefault="00AD3557" w:rsidP="00CE1CCE">
      <w:pPr>
        <w:rPr>
          <w:rFonts w:ascii="Arial" w:hAnsi="Arial" w:cs="Arial"/>
        </w:rPr>
      </w:pPr>
    </w:p>
    <w:p w:rsidR="00CE46CD" w:rsidRDefault="00D83052" w:rsidP="00CE1CCE">
      <w:pPr>
        <w:ind w:left="720" w:hanging="720"/>
        <w:rPr>
          <w:rFonts w:ascii="Arial" w:hAnsi="Arial" w:cs="Arial"/>
        </w:rPr>
      </w:pPr>
      <w:r>
        <w:rPr>
          <w:rFonts w:ascii="Arial" w:hAnsi="Arial" w:cs="Arial"/>
        </w:rPr>
        <w:t>3.5</w:t>
      </w:r>
      <w:r w:rsidR="006E17AB">
        <w:rPr>
          <w:rFonts w:ascii="Arial" w:hAnsi="Arial" w:cs="Arial"/>
        </w:rPr>
        <w:t>.2</w:t>
      </w:r>
      <w:r w:rsidR="006E17AB">
        <w:rPr>
          <w:rFonts w:ascii="Arial" w:hAnsi="Arial" w:cs="Arial"/>
        </w:rPr>
        <w:tab/>
      </w:r>
      <w:r w:rsidR="00AD3557">
        <w:rPr>
          <w:rFonts w:ascii="Arial" w:hAnsi="Arial" w:cs="Arial"/>
        </w:rPr>
        <w:t xml:space="preserve">The Council set a balanced budget for the Housing Revenue Account whereby all expenditure is paid for by dwelling rents and other fees and charges relating to its landlord duties.  </w:t>
      </w:r>
      <w:r w:rsidR="00AD3557" w:rsidRPr="005D0502">
        <w:rPr>
          <w:rFonts w:ascii="Arial" w:hAnsi="Arial" w:cs="Arial"/>
        </w:rPr>
        <w:t>Table 3 shows the year end outturn position for the Housing Rev</w:t>
      </w:r>
      <w:r w:rsidR="00CE46CD" w:rsidRPr="005D0502">
        <w:rPr>
          <w:rFonts w:ascii="Arial" w:hAnsi="Arial" w:cs="Arial"/>
        </w:rPr>
        <w:t>e</w:t>
      </w:r>
      <w:r w:rsidR="00AD3557" w:rsidRPr="005D0502">
        <w:rPr>
          <w:rFonts w:ascii="Arial" w:hAnsi="Arial" w:cs="Arial"/>
        </w:rPr>
        <w:t>nue Account</w:t>
      </w:r>
      <w:r w:rsidR="00515196">
        <w:rPr>
          <w:rFonts w:ascii="Arial" w:hAnsi="Arial" w:cs="Arial"/>
        </w:rPr>
        <w:t xml:space="preserve"> which delivered a balanced budget</w:t>
      </w:r>
      <w:r w:rsidR="007F6BB6" w:rsidRPr="005D0502">
        <w:rPr>
          <w:rFonts w:ascii="Arial" w:hAnsi="Arial" w:cs="Arial"/>
        </w:rPr>
        <w:t>.</w:t>
      </w:r>
    </w:p>
    <w:p w:rsidR="007F6BB6" w:rsidRDefault="007F6BB6" w:rsidP="00CE1CCE">
      <w:pPr>
        <w:ind w:left="720" w:hanging="720"/>
        <w:rPr>
          <w:rFonts w:ascii="Arial" w:hAnsi="Arial" w:cs="Arial"/>
        </w:rPr>
      </w:pPr>
    </w:p>
    <w:p w:rsidR="00AD3557" w:rsidRDefault="00AD3557" w:rsidP="007204D1">
      <w:pPr>
        <w:ind w:firstLine="720"/>
        <w:rPr>
          <w:rFonts w:ascii="Arial" w:hAnsi="Arial" w:cs="Arial"/>
        </w:rPr>
      </w:pPr>
      <w:r>
        <w:rPr>
          <w:rFonts w:ascii="Arial" w:hAnsi="Arial" w:cs="Arial"/>
        </w:rPr>
        <w:t>Table 3 – Housing Revenue Acco</w:t>
      </w:r>
      <w:r w:rsidR="0006235B">
        <w:rPr>
          <w:rFonts w:ascii="Arial" w:hAnsi="Arial" w:cs="Arial"/>
        </w:rPr>
        <w:t xml:space="preserve">unt Outturn Position </w:t>
      </w:r>
      <w:r w:rsidR="007204D1">
        <w:rPr>
          <w:rFonts w:ascii="Arial" w:hAnsi="Arial" w:cs="Arial"/>
        </w:rPr>
        <w:t>2021/22</w:t>
      </w:r>
    </w:p>
    <w:p w:rsidR="007204D1" w:rsidRDefault="007204D1" w:rsidP="007204D1">
      <w:pPr>
        <w:ind w:firstLine="720"/>
        <w:rPr>
          <w:rFonts w:ascii="Arial" w:hAnsi="Arial" w:cs="Arial"/>
        </w:rPr>
      </w:pPr>
    </w:p>
    <w:p w:rsidR="007204D1" w:rsidRDefault="007204D1" w:rsidP="00CE1CCE">
      <w:pPr>
        <w:ind w:left="720"/>
      </w:pPr>
      <w:r w:rsidRPr="007204D1">
        <w:rPr>
          <w:noProof/>
        </w:rPr>
        <w:drawing>
          <wp:inline distT="0" distB="0" distL="0" distR="0">
            <wp:extent cx="3760967" cy="39003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4984" cy="3914836"/>
                    </a:xfrm>
                    <a:prstGeom prst="rect">
                      <a:avLst/>
                    </a:prstGeom>
                    <a:noFill/>
                    <a:ln>
                      <a:noFill/>
                    </a:ln>
                  </pic:spPr>
                </pic:pic>
              </a:graphicData>
            </a:graphic>
          </wp:inline>
        </w:drawing>
      </w:r>
      <w:r w:rsidRPr="007204D1">
        <w:t xml:space="preserve"> </w:t>
      </w:r>
    </w:p>
    <w:p w:rsidR="007204D1" w:rsidRDefault="007204D1" w:rsidP="00CE1CCE">
      <w:pPr>
        <w:ind w:left="720"/>
      </w:pPr>
    </w:p>
    <w:p w:rsidR="007204D1" w:rsidRDefault="007204D1" w:rsidP="00CE1CCE">
      <w:pPr>
        <w:ind w:left="720"/>
      </w:pPr>
    </w:p>
    <w:p w:rsidR="00AD3557" w:rsidRDefault="00CE46CD" w:rsidP="00CE1CCE">
      <w:pPr>
        <w:ind w:left="720"/>
        <w:rPr>
          <w:rFonts w:ascii="Arial" w:hAnsi="Arial" w:cs="Arial"/>
        </w:rPr>
      </w:pPr>
      <w:r>
        <w:rPr>
          <w:rFonts w:ascii="Arial" w:hAnsi="Arial" w:cs="Arial"/>
        </w:rPr>
        <w:t>(</w:t>
      </w:r>
      <w:r w:rsidR="005A174D">
        <w:rPr>
          <w:rFonts w:ascii="Arial" w:hAnsi="Arial" w:cs="Arial"/>
        </w:rPr>
        <w:t>Where a (-) negative variance indicates a surplus against the budget, and a positive variance indicates a deficit against the budget).</w:t>
      </w:r>
    </w:p>
    <w:p w:rsidR="002E069C" w:rsidRDefault="002E069C" w:rsidP="00CE1CCE">
      <w:pPr>
        <w:spacing w:line="276" w:lineRule="auto"/>
        <w:rPr>
          <w:rFonts w:ascii="Arial" w:hAnsi="Arial" w:cs="Arial"/>
        </w:rPr>
      </w:pPr>
    </w:p>
    <w:p w:rsidR="007E5CA3" w:rsidRDefault="00D83052" w:rsidP="00CE1CCE">
      <w:pPr>
        <w:ind w:left="720" w:hanging="720"/>
        <w:rPr>
          <w:rFonts w:ascii="Arial" w:hAnsi="Arial" w:cs="Arial"/>
        </w:rPr>
      </w:pPr>
      <w:r>
        <w:rPr>
          <w:rFonts w:ascii="Arial" w:hAnsi="Arial" w:cs="Arial"/>
        </w:rPr>
        <w:t>3.5</w:t>
      </w:r>
      <w:r w:rsidR="006E17AB">
        <w:rPr>
          <w:rFonts w:ascii="Arial" w:hAnsi="Arial" w:cs="Arial"/>
        </w:rPr>
        <w:t>.3</w:t>
      </w:r>
      <w:r w:rsidR="006E17AB">
        <w:rPr>
          <w:rFonts w:ascii="Arial" w:hAnsi="Arial" w:cs="Arial"/>
        </w:rPr>
        <w:tab/>
      </w:r>
      <w:r w:rsidR="007E5CA3" w:rsidRPr="007E5CA3">
        <w:rPr>
          <w:rFonts w:ascii="Arial" w:hAnsi="Arial" w:cs="Arial"/>
        </w:rPr>
        <w:t xml:space="preserve">The </w:t>
      </w:r>
      <w:r w:rsidR="00B14394">
        <w:rPr>
          <w:rFonts w:ascii="Arial" w:hAnsi="Arial" w:cs="Arial"/>
        </w:rPr>
        <w:t xml:space="preserve">outturn for the HRA shows no change </w:t>
      </w:r>
      <w:r w:rsidR="00EA0E43">
        <w:rPr>
          <w:rFonts w:ascii="Arial" w:hAnsi="Arial" w:cs="Arial"/>
        </w:rPr>
        <w:t>set</w:t>
      </w:r>
      <w:r w:rsidR="007E5CA3">
        <w:rPr>
          <w:rFonts w:ascii="Arial" w:hAnsi="Arial" w:cs="Arial"/>
        </w:rPr>
        <w:t xml:space="preserve"> against a balanced budget </w:t>
      </w:r>
      <w:r w:rsidR="007E5CA3" w:rsidRPr="007E5CA3">
        <w:rPr>
          <w:rFonts w:ascii="Arial" w:hAnsi="Arial" w:cs="Arial"/>
        </w:rPr>
        <w:t xml:space="preserve">for the </w:t>
      </w:r>
      <w:r w:rsidR="007204D1">
        <w:rPr>
          <w:rFonts w:ascii="Arial" w:hAnsi="Arial" w:cs="Arial"/>
        </w:rPr>
        <w:t>2021/22</w:t>
      </w:r>
      <w:r w:rsidR="000677A5">
        <w:rPr>
          <w:rFonts w:ascii="Arial" w:hAnsi="Arial" w:cs="Arial"/>
        </w:rPr>
        <w:t xml:space="preserve"> </w:t>
      </w:r>
      <w:r w:rsidR="007E5CA3" w:rsidRPr="007E5CA3">
        <w:rPr>
          <w:rFonts w:ascii="Arial" w:hAnsi="Arial" w:cs="Arial"/>
        </w:rPr>
        <w:t xml:space="preserve">financial year. This was after setting </w:t>
      </w:r>
      <w:r w:rsidR="005E2459" w:rsidRPr="005318C0">
        <w:rPr>
          <w:rFonts w:ascii="Arial" w:hAnsi="Arial" w:cs="Arial"/>
        </w:rPr>
        <w:t>aside £</w:t>
      </w:r>
      <w:r w:rsidR="00F35A8C" w:rsidRPr="005318C0">
        <w:rPr>
          <w:rFonts w:ascii="Arial" w:hAnsi="Arial" w:cs="Arial"/>
        </w:rPr>
        <w:t>3.485</w:t>
      </w:r>
      <w:r w:rsidR="005E2459" w:rsidRPr="005318C0">
        <w:rPr>
          <w:rFonts w:ascii="Arial" w:hAnsi="Arial" w:cs="Arial"/>
        </w:rPr>
        <w:t>m</w:t>
      </w:r>
      <w:r w:rsidR="007E5CA3" w:rsidRPr="005318C0">
        <w:rPr>
          <w:rFonts w:ascii="Arial" w:hAnsi="Arial" w:cs="Arial"/>
        </w:rPr>
        <w:t xml:space="preserve"> towards the repayment of loan debt taken out as part of the Self Financing Reforms brought in during 2012. Table 4 shows that, after this, and transfers</w:t>
      </w:r>
      <w:r w:rsidR="007E5CA3">
        <w:rPr>
          <w:rFonts w:ascii="Arial" w:hAnsi="Arial" w:cs="Arial"/>
        </w:rPr>
        <w:t xml:space="preserve"> to reserves, the Housing Revenue Account balance has increased compared to the opening position, as shown in Table 4: </w:t>
      </w:r>
    </w:p>
    <w:p w:rsidR="00CE46CD" w:rsidRDefault="00CE46CD" w:rsidP="00CE1CCE">
      <w:pPr>
        <w:spacing w:line="276" w:lineRule="auto"/>
        <w:rPr>
          <w:rFonts w:ascii="Arial" w:hAnsi="Arial" w:cs="Arial"/>
        </w:rPr>
      </w:pPr>
    </w:p>
    <w:p w:rsidR="00CE46CD" w:rsidRDefault="00CE46CD" w:rsidP="00CE1CCE">
      <w:pPr>
        <w:spacing w:line="276" w:lineRule="auto"/>
        <w:ind w:firstLine="720"/>
        <w:rPr>
          <w:rFonts w:ascii="Arial" w:hAnsi="Arial" w:cs="Arial"/>
        </w:rPr>
      </w:pPr>
      <w:r>
        <w:rPr>
          <w:rFonts w:ascii="Arial" w:hAnsi="Arial" w:cs="Arial"/>
        </w:rPr>
        <w:t>Table 4 – Housing Revenue A</w:t>
      </w:r>
      <w:r w:rsidR="007204D1">
        <w:rPr>
          <w:rFonts w:ascii="Arial" w:hAnsi="Arial" w:cs="Arial"/>
        </w:rPr>
        <w:t>ccount Balances 2021/22</w:t>
      </w:r>
      <w:r w:rsidR="00013EF9">
        <w:rPr>
          <w:rFonts w:ascii="Arial" w:hAnsi="Arial" w:cs="Arial"/>
        </w:rPr>
        <w:t xml:space="preserve"> </w:t>
      </w:r>
    </w:p>
    <w:p w:rsidR="00E479DA" w:rsidRDefault="00E479DA" w:rsidP="00CE1CCE">
      <w:pPr>
        <w:spacing w:line="276" w:lineRule="auto"/>
        <w:ind w:firstLine="720"/>
        <w:rPr>
          <w:rFonts w:ascii="Arial" w:hAnsi="Arial" w:cs="Arial"/>
        </w:rPr>
      </w:pPr>
    </w:p>
    <w:p w:rsidR="00CE46CD" w:rsidRDefault="00E479DA" w:rsidP="00CE46CD">
      <w:pPr>
        <w:spacing w:line="276" w:lineRule="auto"/>
        <w:rPr>
          <w:rFonts w:ascii="Arial" w:hAnsi="Arial" w:cs="Arial"/>
        </w:rPr>
      </w:pPr>
      <w:r w:rsidRPr="00E479DA">
        <w:rPr>
          <w:noProof/>
        </w:rPr>
        <w:drawing>
          <wp:inline distT="0" distB="0" distL="0" distR="0">
            <wp:extent cx="4102735" cy="1232535"/>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735" cy="1232535"/>
                    </a:xfrm>
                    <a:prstGeom prst="rect">
                      <a:avLst/>
                    </a:prstGeom>
                    <a:noFill/>
                    <a:ln>
                      <a:noFill/>
                    </a:ln>
                  </pic:spPr>
                </pic:pic>
              </a:graphicData>
            </a:graphic>
          </wp:inline>
        </w:drawing>
      </w:r>
    </w:p>
    <w:p w:rsidR="00CE46CD" w:rsidRPr="005318C0" w:rsidRDefault="00E479DA" w:rsidP="00CE46CD">
      <w:pPr>
        <w:spacing w:line="276" w:lineRule="auto"/>
        <w:rPr>
          <w:rFonts w:ascii="Arial" w:hAnsi="Arial" w:cs="Arial"/>
        </w:rPr>
      </w:pPr>
      <w:r w:rsidRPr="00E479DA">
        <w:rPr>
          <w:noProof/>
        </w:rPr>
        <w:drawing>
          <wp:inline distT="0" distB="0" distL="0" distR="0">
            <wp:extent cx="4102735" cy="620395"/>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735" cy="620395"/>
                    </a:xfrm>
                    <a:prstGeom prst="rect">
                      <a:avLst/>
                    </a:prstGeom>
                    <a:noFill/>
                    <a:ln>
                      <a:noFill/>
                    </a:ln>
                  </pic:spPr>
                </pic:pic>
              </a:graphicData>
            </a:graphic>
          </wp:inline>
        </w:drawing>
      </w:r>
    </w:p>
    <w:p w:rsidR="00CE46CD" w:rsidRDefault="00CE46CD" w:rsidP="00CE46CD">
      <w:pPr>
        <w:spacing w:line="276" w:lineRule="auto"/>
        <w:rPr>
          <w:rFonts w:ascii="Arial" w:hAnsi="Arial" w:cs="Arial"/>
        </w:rPr>
      </w:pPr>
    </w:p>
    <w:p w:rsidR="00842443" w:rsidRPr="009178A3" w:rsidRDefault="007E5CA3" w:rsidP="00CE1CCE">
      <w:pPr>
        <w:spacing w:line="276" w:lineRule="auto"/>
        <w:ind w:left="720"/>
        <w:rPr>
          <w:rFonts w:ascii="Arial" w:hAnsi="Arial" w:cs="Arial"/>
        </w:rPr>
      </w:pPr>
      <w:r w:rsidRPr="009178A3">
        <w:rPr>
          <w:rFonts w:ascii="Arial" w:hAnsi="Arial" w:cs="Arial"/>
        </w:rPr>
        <w:t>*these transfers relate to revenue contribution to capital and loan repayment set aside, which were a</w:t>
      </w:r>
      <w:r w:rsidR="00EA0E43" w:rsidRPr="009178A3">
        <w:rPr>
          <w:rFonts w:ascii="Arial" w:hAnsi="Arial" w:cs="Arial"/>
        </w:rPr>
        <w:t>greed by Council as part of 202</w:t>
      </w:r>
      <w:r w:rsidR="005318C0" w:rsidRPr="009178A3">
        <w:rPr>
          <w:rFonts w:ascii="Arial" w:hAnsi="Arial" w:cs="Arial"/>
        </w:rPr>
        <w:t>1</w:t>
      </w:r>
      <w:r w:rsidR="00EA0E43" w:rsidRPr="009178A3">
        <w:rPr>
          <w:rFonts w:ascii="Arial" w:hAnsi="Arial" w:cs="Arial"/>
        </w:rPr>
        <w:t>/2</w:t>
      </w:r>
      <w:r w:rsidR="005318C0" w:rsidRPr="009178A3">
        <w:rPr>
          <w:rFonts w:ascii="Arial" w:hAnsi="Arial" w:cs="Arial"/>
        </w:rPr>
        <w:t>2</w:t>
      </w:r>
      <w:r w:rsidRPr="009178A3">
        <w:rPr>
          <w:rFonts w:ascii="Arial" w:hAnsi="Arial" w:cs="Arial"/>
        </w:rPr>
        <w:t xml:space="preserve"> budget-setting on </w:t>
      </w:r>
      <w:r w:rsidR="009178A3" w:rsidRPr="009178A3">
        <w:rPr>
          <w:rFonts w:ascii="Arial" w:hAnsi="Arial" w:cs="Arial"/>
        </w:rPr>
        <w:t>27</w:t>
      </w:r>
      <w:r w:rsidR="00EA0E43" w:rsidRPr="009178A3">
        <w:rPr>
          <w:rFonts w:ascii="Arial" w:hAnsi="Arial" w:cs="Arial"/>
          <w:vertAlign w:val="superscript"/>
        </w:rPr>
        <w:t>th</w:t>
      </w:r>
      <w:r w:rsidR="00EA0E43" w:rsidRPr="009178A3">
        <w:rPr>
          <w:rFonts w:ascii="Arial" w:hAnsi="Arial" w:cs="Arial"/>
        </w:rPr>
        <w:t xml:space="preserve"> </w:t>
      </w:r>
      <w:r w:rsidRPr="009178A3">
        <w:rPr>
          <w:rFonts w:ascii="Arial" w:hAnsi="Arial" w:cs="Arial"/>
        </w:rPr>
        <w:t>January 20</w:t>
      </w:r>
      <w:r w:rsidR="00EA0E43" w:rsidRPr="009178A3">
        <w:rPr>
          <w:rFonts w:ascii="Arial" w:hAnsi="Arial" w:cs="Arial"/>
        </w:rPr>
        <w:t>2</w:t>
      </w:r>
      <w:r w:rsidR="009178A3" w:rsidRPr="009178A3">
        <w:rPr>
          <w:rFonts w:ascii="Arial" w:hAnsi="Arial" w:cs="Arial"/>
        </w:rPr>
        <w:t>1</w:t>
      </w:r>
    </w:p>
    <w:p w:rsidR="004D0550" w:rsidRPr="009178A3" w:rsidRDefault="004D0550" w:rsidP="00CE1CCE">
      <w:pPr>
        <w:spacing w:line="276" w:lineRule="auto"/>
        <w:ind w:left="720"/>
        <w:rPr>
          <w:rFonts w:ascii="Arial" w:hAnsi="Arial" w:cs="Arial"/>
        </w:rPr>
      </w:pPr>
    </w:p>
    <w:p w:rsidR="00E479DA" w:rsidRPr="009178A3" w:rsidRDefault="004D0550" w:rsidP="00E479DA">
      <w:pPr>
        <w:spacing w:line="276" w:lineRule="auto"/>
        <w:ind w:left="720"/>
        <w:rPr>
          <w:rFonts w:ascii="Arial" w:hAnsi="Arial" w:cs="Arial"/>
        </w:rPr>
      </w:pPr>
      <w:r w:rsidRPr="009178A3">
        <w:rPr>
          <w:rFonts w:ascii="Arial" w:hAnsi="Arial" w:cs="Arial"/>
        </w:rPr>
        <w:t>The following table shows the movements between the HRA reserves</w:t>
      </w:r>
    </w:p>
    <w:p w:rsidR="004D0550" w:rsidRPr="009178A3" w:rsidRDefault="00E479DA" w:rsidP="004D0550">
      <w:pPr>
        <w:spacing w:line="276" w:lineRule="auto"/>
        <w:ind w:left="720"/>
        <w:rPr>
          <w:rFonts w:ascii="Arial" w:hAnsi="Arial" w:cs="Arial"/>
        </w:rPr>
      </w:pPr>
      <w:r w:rsidRPr="00E479DA">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200660</wp:posOffset>
            </wp:positionV>
            <wp:extent cx="5731510" cy="2013393"/>
            <wp:effectExtent l="0" t="0" r="2540" b="635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013393"/>
                    </a:xfrm>
                    <a:prstGeom prst="rect">
                      <a:avLst/>
                    </a:prstGeom>
                    <a:noFill/>
                    <a:ln>
                      <a:noFill/>
                    </a:ln>
                  </pic:spPr>
                </pic:pic>
              </a:graphicData>
            </a:graphic>
          </wp:anchor>
        </w:drawing>
      </w:r>
    </w:p>
    <w:p w:rsidR="004D0550" w:rsidRDefault="004D0550" w:rsidP="00CE1CCE">
      <w:pPr>
        <w:spacing w:line="276" w:lineRule="auto"/>
        <w:ind w:left="720"/>
        <w:rPr>
          <w:rFonts w:ascii="Arial" w:hAnsi="Arial" w:cs="Arial"/>
        </w:rPr>
      </w:pPr>
    </w:p>
    <w:p w:rsidR="005F12BA" w:rsidRDefault="005F12BA" w:rsidP="00CE1CCE">
      <w:pPr>
        <w:spacing w:line="276" w:lineRule="auto"/>
        <w:rPr>
          <w:rFonts w:ascii="Arial" w:hAnsi="Arial" w:cs="Arial"/>
        </w:rPr>
      </w:pPr>
    </w:p>
    <w:p w:rsidR="005F12BA" w:rsidRPr="00CA2278" w:rsidRDefault="00D83052" w:rsidP="00CE1CCE">
      <w:pPr>
        <w:rPr>
          <w:rFonts w:ascii="Arial" w:hAnsi="Arial" w:cs="Arial"/>
          <w:b/>
        </w:rPr>
      </w:pPr>
      <w:r>
        <w:rPr>
          <w:rFonts w:ascii="Arial" w:hAnsi="Arial" w:cs="Arial"/>
          <w:b/>
        </w:rPr>
        <w:t>3.6</w:t>
      </w:r>
      <w:r w:rsidR="005F12BA" w:rsidRPr="00CA2278">
        <w:rPr>
          <w:rFonts w:ascii="Arial" w:hAnsi="Arial" w:cs="Arial"/>
          <w:b/>
        </w:rPr>
        <w:tab/>
        <w:t>Transformation</w:t>
      </w:r>
    </w:p>
    <w:p w:rsidR="005F12BA" w:rsidRDefault="005F12BA" w:rsidP="00CE1CCE">
      <w:pPr>
        <w:rPr>
          <w:rFonts w:ascii="Arial" w:hAnsi="Arial" w:cs="Arial"/>
        </w:rPr>
      </w:pPr>
    </w:p>
    <w:p w:rsidR="00057173" w:rsidRDefault="00D83052" w:rsidP="00CE1CCE">
      <w:pPr>
        <w:rPr>
          <w:rFonts w:ascii="Arial" w:hAnsi="Arial" w:cs="Arial"/>
        </w:rPr>
      </w:pPr>
      <w:r>
        <w:rPr>
          <w:rFonts w:ascii="Arial" w:hAnsi="Arial" w:cs="Arial"/>
        </w:rPr>
        <w:t>3.6</w:t>
      </w:r>
      <w:r w:rsidR="009D7805">
        <w:rPr>
          <w:rFonts w:ascii="Arial" w:hAnsi="Arial" w:cs="Arial"/>
        </w:rPr>
        <w:t>.1</w:t>
      </w:r>
      <w:r w:rsidR="009D7805">
        <w:rPr>
          <w:rFonts w:ascii="Arial" w:hAnsi="Arial" w:cs="Arial"/>
        </w:rPr>
        <w:tab/>
        <w:t>The 2021/22</w:t>
      </w:r>
      <w:r w:rsidR="00057173">
        <w:rPr>
          <w:rFonts w:ascii="Arial" w:hAnsi="Arial" w:cs="Arial"/>
        </w:rPr>
        <w:t xml:space="preserve"> </w:t>
      </w:r>
      <w:r w:rsidR="00057173" w:rsidRPr="00AD2C59">
        <w:rPr>
          <w:rFonts w:ascii="Arial" w:hAnsi="Arial" w:cs="Arial"/>
        </w:rPr>
        <w:t xml:space="preserve">budget </w:t>
      </w:r>
      <w:r w:rsidR="00AD2C59" w:rsidRPr="00AD2C59">
        <w:rPr>
          <w:rFonts w:ascii="Arial" w:hAnsi="Arial" w:cs="Arial"/>
        </w:rPr>
        <w:t>included £3.403</w:t>
      </w:r>
      <w:r w:rsidR="00057173" w:rsidRPr="00AD2C59">
        <w:rPr>
          <w:rFonts w:ascii="Arial" w:hAnsi="Arial" w:cs="Arial"/>
        </w:rPr>
        <w:t>million</w:t>
      </w:r>
      <w:r w:rsidR="00CE1CCE" w:rsidRPr="00AD2C59">
        <w:rPr>
          <w:rFonts w:ascii="Arial" w:hAnsi="Arial" w:cs="Arial"/>
        </w:rPr>
        <w:t xml:space="preserve"> of transformation</w:t>
      </w:r>
      <w:r w:rsidR="00CE1CCE">
        <w:rPr>
          <w:rFonts w:ascii="Arial" w:hAnsi="Arial" w:cs="Arial"/>
        </w:rPr>
        <w:t xml:space="preserve"> savings to </w:t>
      </w:r>
      <w:r w:rsidR="00057173">
        <w:rPr>
          <w:rFonts w:ascii="Arial" w:hAnsi="Arial" w:cs="Arial"/>
        </w:rPr>
        <w:t xml:space="preserve">be </w:t>
      </w:r>
      <w:r w:rsidR="00CE1CCE">
        <w:rPr>
          <w:rFonts w:ascii="Arial" w:hAnsi="Arial" w:cs="Arial"/>
        </w:rPr>
        <w:tab/>
      </w:r>
      <w:r w:rsidR="00057173">
        <w:rPr>
          <w:rFonts w:ascii="Arial" w:hAnsi="Arial" w:cs="Arial"/>
        </w:rPr>
        <w:t>achieved for the General Fund</w:t>
      </w:r>
      <w:r w:rsidR="00057173" w:rsidRPr="00AD2C59">
        <w:rPr>
          <w:rFonts w:ascii="Arial" w:hAnsi="Arial" w:cs="Arial"/>
        </w:rPr>
        <w:t xml:space="preserve">, </w:t>
      </w:r>
      <w:r w:rsidR="00AD2C59" w:rsidRPr="00AD2C59">
        <w:rPr>
          <w:rFonts w:ascii="Arial" w:hAnsi="Arial" w:cs="Arial"/>
        </w:rPr>
        <w:t>and £1.179million</w:t>
      </w:r>
      <w:r w:rsidR="00057173">
        <w:rPr>
          <w:rFonts w:ascii="Arial" w:hAnsi="Arial" w:cs="Arial"/>
        </w:rPr>
        <w:t xml:space="preserve"> for the Housing Revenue </w:t>
      </w:r>
      <w:r w:rsidR="00057173">
        <w:rPr>
          <w:rFonts w:ascii="Arial" w:hAnsi="Arial" w:cs="Arial"/>
        </w:rPr>
        <w:tab/>
        <w:t xml:space="preserve">Account. These savings were achieved through a variety of workstreams, </w:t>
      </w:r>
      <w:r w:rsidR="00057173">
        <w:rPr>
          <w:rFonts w:ascii="Arial" w:hAnsi="Arial" w:cs="Arial"/>
        </w:rPr>
        <w:tab/>
        <w:t xml:space="preserve">which have </w:t>
      </w:r>
      <w:r w:rsidR="009D7805">
        <w:rPr>
          <w:rFonts w:ascii="Arial" w:hAnsi="Arial" w:cs="Arial"/>
        </w:rPr>
        <w:t>also reduced the target for 2022/23</w:t>
      </w:r>
      <w:r w:rsidR="00057173">
        <w:rPr>
          <w:rFonts w:ascii="Arial" w:hAnsi="Arial" w:cs="Arial"/>
        </w:rPr>
        <w:t>, as shown in Table 5.</w:t>
      </w:r>
    </w:p>
    <w:p w:rsidR="00013EF9" w:rsidRDefault="00013EF9" w:rsidP="00CE1CCE">
      <w:pPr>
        <w:rPr>
          <w:rFonts w:ascii="Arial" w:hAnsi="Arial" w:cs="Arial"/>
        </w:rPr>
      </w:pPr>
    </w:p>
    <w:p w:rsidR="00013EF9" w:rsidRDefault="00013EF9" w:rsidP="00CE1CCE">
      <w:pPr>
        <w:rPr>
          <w:rFonts w:ascii="Arial" w:hAnsi="Arial" w:cs="Arial"/>
        </w:rPr>
      </w:pPr>
      <w:r>
        <w:rPr>
          <w:rFonts w:ascii="Arial" w:hAnsi="Arial" w:cs="Arial"/>
        </w:rPr>
        <w:tab/>
        <w:t>Table 5 – Tra</w:t>
      </w:r>
      <w:r w:rsidR="009D7805">
        <w:rPr>
          <w:rFonts w:ascii="Arial" w:hAnsi="Arial" w:cs="Arial"/>
        </w:rPr>
        <w:t>nsformation savings summary 2021/22 and 2022/23</w:t>
      </w:r>
    </w:p>
    <w:p w:rsidR="00AD2C59" w:rsidRDefault="00AD2C59" w:rsidP="00CE1CCE">
      <w:pPr>
        <w:rPr>
          <w:rFonts w:ascii="Arial" w:hAnsi="Arial" w:cs="Arial"/>
        </w:rPr>
      </w:pPr>
    </w:p>
    <w:p w:rsidR="005F12BA" w:rsidRDefault="00AD2C59" w:rsidP="005F12BA">
      <w:pPr>
        <w:spacing w:line="276" w:lineRule="auto"/>
        <w:rPr>
          <w:rFonts w:ascii="Arial" w:hAnsi="Arial" w:cs="Arial"/>
        </w:rPr>
      </w:pPr>
      <w:r w:rsidRPr="00AD2C59">
        <w:rPr>
          <w:noProof/>
        </w:rPr>
        <w:drawing>
          <wp:inline distT="0" distB="0" distL="0" distR="0">
            <wp:extent cx="5731510" cy="19850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985070"/>
                    </a:xfrm>
                    <a:prstGeom prst="rect">
                      <a:avLst/>
                    </a:prstGeom>
                    <a:noFill/>
                    <a:ln>
                      <a:noFill/>
                    </a:ln>
                  </pic:spPr>
                </pic:pic>
              </a:graphicData>
            </a:graphic>
          </wp:inline>
        </w:drawing>
      </w:r>
      <w:r>
        <w:rPr>
          <w:rFonts w:ascii="Arial" w:hAnsi="Arial" w:cs="Arial"/>
        </w:rPr>
        <w:tab/>
      </w:r>
    </w:p>
    <w:p w:rsidR="00057173" w:rsidRPr="00610398" w:rsidRDefault="00057173" w:rsidP="00CE1CCE">
      <w:pPr>
        <w:rPr>
          <w:rFonts w:ascii="Arial" w:hAnsi="Arial" w:cs="Arial"/>
        </w:rPr>
      </w:pPr>
    </w:p>
    <w:p w:rsidR="00057173" w:rsidRPr="00610398" w:rsidRDefault="00D83052" w:rsidP="00610398">
      <w:pPr>
        <w:rPr>
          <w:rFonts w:ascii="Arial" w:hAnsi="Arial" w:cs="Arial"/>
        </w:rPr>
      </w:pPr>
      <w:r w:rsidRPr="00610398">
        <w:rPr>
          <w:rFonts w:ascii="Arial" w:hAnsi="Arial" w:cs="Arial"/>
        </w:rPr>
        <w:t>3.6</w:t>
      </w:r>
      <w:r w:rsidR="00610398">
        <w:rPr>
          <w:rFonts w:ascii="Arial" w:hAnsi="Arial" w:cs="Arial"/>
        </w:rPr>
        <w:t>.2</w:t>
      </w:r>
      <w:r w:rsidR="00057173" w:rsidRPr="00610398">
        <w:rPr>
          <w:rFonts w:ascii="Arial" w:hAnsi="Arial" w:cs="Arial"/>
        </w:rPr>
        <w:tab/>
        <w:t xml:space="preserve">There were a number of in-year vacancy savings taken as part of the </w:t>
      </w:r>
      <w:r w:rsidR="00057173" w:rsidRPr="00610398">
        <w:rPr>
          <w:rFonts w:ascii="Arial" w:hAnsi="Arial" w:cs="Arial"/>
        </w:rPr>
        <w:tab/>
        <w:t>transformation savings this year. However, these saving</w:t>
      </w:r>
      <w:r w:rsidR="00610398" w:rsidRPr="00610398">
        <w:rPr>
          <w:rFonts w:ascii="Arial" w:hAnsi="Arial" w:cs="Arial"/>
        </w:rPr>
        <w:t xml:space="preserve">s were one-off for the </w:t>
      </w:r>
      <w:r w:rsidR="00610398" w:rsidRPr="00610398">
        <w:rPr>
          <w:rFonts w:ascii="Arial" w:hAnsi="Arial" w:cs="Arial"/>
        </w:rPr>
        <w:tab/>
        <w:t>2021/22</w:t>
      </w:r>
      <w:r w:rsidR="00057173" w:rsidRPr="00610398">
        <w:rPr>
          <w:rFonts w:ascii="Arial" w:hAnsi="Arial" w:cs="Arial"/>
        </w:rPr>
        <w:t xml:space="preserve"> financial year, as it is expected that the posts will be required again </w:t>
      </w:r>
      <w:r w:rsidR="00057173" w:rsidRPr="00610398">
        <w:rPr>
          <w:rFonts w:ascii="Arial" w:hAnsi="Arial" w:cs="Arial"/>
        </w:rPr>
        <w:tab/>
        <w:t>once the district</w:t>
      </w:r>
      <w:r w:rsidR="00610398" w:rsidRPr="00610398">
        <w:rPr>
          <w:rFonts w:ascii="Arial" w:hAnsi="Arial" w:cs="Arial"/>
        </w:rPr>
        <w:t xml:space="preserve"> and Mansfield District Council. </w:t>
      </w:r>
      <w:r w:rsidR="00610398">
        <w:rPr>
          <w:rFonts w:ascii="Arial" w:hAnsi="Arial" w:cs="Arial"/>
        </w:rPr>
        <w:t xml:space="preserve">For this reason, these specific     </w:t>
      </w:r>
      <w:r w:rsidR="00057173" w:rsidRPr="00610398">
        <w:rPr>
          <w:rFonts w:ascii="Arial" w:hAnsi="Arial" w:cs="Arial"/>
        </w:rPr>
        <w:t>savings have</w:t>
      </w:r>
      <w:r w:rsidR="00610398" w:rsidRPr="00610398">
        <w:rPr>
          <w:rFonts w:ascii="Arial" w:hAnsi="Arial" w:cs="Arial"/>
        </w:rPr>
        <w:t xml:space="preserve"> </w:t>
      </w:r>
      <w:r w:rsidR="00057173" w:rsidRPr="00610398">
        <w:rPr>
          <w:rFonts w:ascii="Arial" w:hAnsi="Arial" w:cs="Arial"/>
        </w:rPr>
        <w:t>not led to a reduced target for future years, h</w:t>
      </w:r>
      <w:r w:rsidR="00610398">
        <w:rPr>
          <w:rFonts w:ascii="Arial" w:hAnsi="Arial" w:cs="Arial"/>
        </w:rPr>
        <w:t xml:space="preserve">owever, this has been the case </w:t>
      </w:r>
      <w:r w:rsidR="00057173" w:rsidRPr="00610398">
        <w:rPr>
          <w:rFonts w:ascii="Arial" w:hAnsi="Arial" w:cs="Arial"/>
        </w:rPr>
        <w:t>where ongoing savings have been achieved.</w:t>
      </w:r>
    </w:p>
    <w:p w:rsidR="00057173" w:rsidRDefault="00057173" w:rsidP="00610398">
      <w:pPr>
        <w:rPr>
          <w:rFonts w:ascii="Arial" w:hAnsi="Arial" w:cs="Arial"/>
        </w:rPr>
      </w:pPr>
    </w:p>
    <w:p w:rsidR="00A80FDC" w:rsidRPr="00A80FDC" w:rsidRDefault="00D83052" w:rsidP="00CE1CCE">
      <w:pPr>
        <w:rPr>
          <w:rFonts w:ascii="Arial" w:hAnsi="Arial" w:cs="Arial"/>
        </w:rPr>
      </w:pPr>
      <w:r>
        <w:rPr>
          <w:rFonts w:ascii="Arial" w:hAnsi="Arial" w:cs="Arial"/>
          <w:b/>
        </w:rPr>
        <w:t>3.7</w:t>
      </w:r>
      <w:r w:rsidR="006E17AB">
        <w:rPr>
          <w:rFonts w:ascii="Arial" w:hAnsi="Arial" w:cs="Arial"/>
          <w:b/>
        </w:rPr>
        <w:tab/>
      </w:r>
      <w:r w:rsidR="000E5748">
        <w:rPr>
          <w:rFonts w:ascii="Arial" w:hAnsi="Arial" w:cs="Arial"/>
          <w:b/>
        </w:rPr>
        <w:t>Capital</w:t>
      </w:r>
      <w:r w:rsidR="00F4505A">
        <w:rPr>
          <w:rFonts w:ascii="Arial" w:hAnsi="Arial" w:cs="Arial"/>
          <w:b/>
        </w:rPr>
        <w:t xml:space="preserve"> Out</w:t>
      </w:r>
      <w:r w:rsidR="00A80FDC" w:rsidRPr="00A80FDC">
        <w:rPr>
          <w:rFonts w:ascii="Arial" w:hAnsi="Arial" w:cs="Arial"/>
          <w:b/>
        </w:rPr>
        <w:t>turn Position</w:t>
      </w:r>
    </w:p>
    <w:p w:rsidR="000E5748" w:rsidRDefault="000E5748" w:rsidP="00CE1CCE">
      <w:pPr>
        <w:rPr>
          <w:rFonts w:ascii="Arial" w:hAnsi="Arial" w:cs="Arial"/>
        </w:rPr>
      </w:pPr>
    </w:p>
    <w:p w:rsidR="00CE1CCE" w:rsidRDefault="00D83052" w:rsidP="00CE1CCE">
      <w:pPr>
        <w:ind w:left="720" w:hanging="720"/>
        <w:jc w:val="both"/>
        <w:rPr>
          <w:rFonts w:ascii="Arial" w:hAnsi="Arial" w:cs="Arial"/>
        </w:rPr>
      </w:pPr>
      <w:r>
        <w:rPr>
          <w:rFonts w:ascii="Arial" w:hAnsi="Arial" w:cs="Arial"/>
        </w:rPr>
        <w:t>3.7</w:t>
      </w:r>
      <w:r w:rsidR="006E17AB">
        <w:rPr>
          <w:rFonts w:ascii="Arial" w:hAnsi="Arial" w:cs="Arial"/>
        </w:rPr>
        <w:t>.1</w:t>
      </w:r>
      <w:r w:rsidR="006E17AB">
        <w:rPr>
          <w:rFonts w:ascii="Arial" w:hAnsi="Arial" w:cs="Arial"/>
        </w:rPr>
        <w:tab/>
      </w:r>
      <w:r w:rsidR="00A80FDC" w:rsidRPr="003B46A9">
        <w:rPr>
          <w:rFonts w:ascii="Arial" w:hAnsi="Arial" w:cs="Arial"/>
        </w:rPr>
        <w:t xml:space="preserve">The final approved </w:t>
      </w:r>
      <w:r w:rsidR="009D7805">
        <w:rPr>
          <w:rFonts w:ascii="Arial" w:hAnsi="Arial" w:cs="Arial"/>
        </w:rPr>
        <w:t>2021/22</w:t>
      </w:r>
      <w:r w:rsidR="000677A5">
        <w:rPr>
          <w:rFonts w:ascii="Arial" w:hAnsi="Arial" w:cs="Arial"/>
        </w:rPr>
        <w:t xml:space="preserve"> </w:t>
      </w:r>
      <w:r w:rsidR="00A80FDC" w:rsidRPr="003B46A9">
        <w:rPr>
          <w:rFonts w:ascii="Arial" w:hAnsi="Arial" w:cs="Arial"/>
        </w:rPr>
        <w:t xml:space="preserve">capital programme budget was </w:t>
      </w:r>
      <w:r w:rsidR="00E613CD" w:rsidRPr="003B46A9">
        <w:rPr>
          <w:rFonts w:ascii="Arial" w:hAnsi="Arial" w:cs="Arial"/>
        </w:rPr>
        <w:t>£</w:t>
      </w:r>
      <w:r w:rsidR="00910C6A">
        <w:rPr>
          <w:rFonts w:ascii="Arial" w:hAnsi="Arial" w:cs="Arial"/>
        </w:rPr>
        <w:t>66</w:t>
      </w:r>
      <w:r w:rsidR="00CF194C" w:rsidRPr="00910C6A">
        <w:rPr>
          <w:rFonts w:ascii="Arial" w:hAnsi="Arial" w:cs="Arial"/>
        </w:rPr>
        <w:t>.</w:t>
      </w:r>
      <w:r w:rsidR="00910C6A" w:rsidRPr="00910C6A">
        <w:rPr>
          <w:rFonts w:ascii="Arial" w:hAnsi="Arial" w:cs="Arial"/>
        </w:rPr>
        <w:t>12</w:t>
      </w:r>
      <w:r w:rsidR="00910C6A">
        <w:rPr>
          <w:rFonts w:ascii="Arial" w:hAnsi="Arial" w:cs="Arial"/>
        </w:rPr>
        <w:t>1</w:t>
      </w:r>
      <w:r w:rsidR="005E2459" w:rsidRPr="00910C6A">
        <w:rPr>
          <w:rFonts w:ascii="Arial" w:hAnsi="Arial" w:cs="Arial"/>
        </w:rPr>
        <w:t>m</w:t>
      </w:r>
      <w:r w:rsidR="000E5748" w:rsidRPr="003B46A9">
        <w:rPr>
          <w:rFonts w:ascii="Arial" w:hAnsi="Arial" w:cs="Arial"/>
        </w:rPr>
        <w:t xml:space="preserve"> in total for both the </w:t>
      </w:r>
      <w:r w:rsidR="005C0EB3" w:rsidRPr="003B46A9">
        <w:rPr>
          <w:rFonts w:ascii="Arial" w:hAnsi="Arial" w:cs="Arial"/>
        </w:rPr>
        <w:t>G</w:t>
      </w:r>
      <w:r w:rsidR="000E5748" w:rsidRPr="003B46A9">
        <w:rPr>
          <w:rFonts w:ascii="Arial" w:hAnsi="Arial" w:cs="Arial"/>
        </w:rPr>
        <w:t>eneral Fund and the Housing Revenue Account, with e</w:t>
      </w:r>
      <w:r w:rsidR="00A80FDC" w:rsidRPr="003B46A9">
        <w:rPr>
          <w:rFonts w:ascii="Arial" w:hAnsi="Arial" w:cs="Arial"/>
        </w:rPr>
        <w:t>xpenditure incurred by the Council on capital pr</w:t>
      </w:r>
      <w:r w:rsidR="00CE3205" w:rsidRPr="003B46A9">
        <w:rPr>
          <w:rFonts w:ascii="Arial" w:hAnsi="Arial" w:cs="Arial"/>
        </w:rPr>
        <w:t xml:space="preserve">ojects during </w:t>
      </w:r>
      <w:r w:rsidR="009D7805">
        <w:rPr>
          <w:rFonts w:ascii="Arial" w:hAnsi="Arial" w:cs="Arial"/>
        </w:rPr>
        <w:t>2021/22</w:t>
      </w:r>
      <w:r w:rsidR="000677A5">
        <w:rPr>
          <w:rFonts w:ascii="Arial" w:hAnsi="Arial" w:cs="Arial"/>
        </w:rPr>
        <w:t xml:space="preserve"> </w:t>
      </w:r>
      <w:r w:rsidR="000E5748" w:rsidRPr="00910C6A">
        <w:rPr>
          <w:rFonts w:ascii="Arial" w:hAnsi="Arial" w:cs="Arial"/>
        </w:rPr>
        <w:t>totalling</w:t>
      </w:r>
      <w:r w:rsidR="00E613CD" w:rsidRPr="00910C6A">
        <w:rPr>
          <w:rFonts w:ascii="Arial" w:hAnsi="Arial" w:cs="Arial"/>
        </w:rPr>
        <w:t xml:space="preserve"> £</w:t>
      </w:r>
      <w:r w:rsidR="00910C6A" w:rsidRPr="00910C6A">
        <w:rPr>
          <w:rFonts w:ascii="Arial" w:hAnsi="Arial" w:cs="Arial"/>
        </w:rPr>
        <w:t>12.</w:t>
      </w:r>
      <w:r w:rsidR="00876396">
        <w:rPr>
          <w:rFonts w:ascii="Arial" w:hAnsi="Arial" w:cs="Arial"/>
        </w:rPr>
        <w:t>860</w:t>
      </w:r>
      <w:r w:rsidR="005E2459" w:rsidRPr="00910C6A">
        <w:rPr>
          <w:rFonts w:ascii="Arial" w:hAnsi="Arial" w:cs="Arial"/>
        </w:rPr>
        <w:t>m</w:t>
      </w:r>
      <w:r w:rsidR="00A80FDC" w:rsidRPr="00910C6A">
        <w:rPr>
          <w:rFonts w:ascii="Arial" w:hAnsi="Arial" w:cs="Arial"/>
        </w:rPr>
        <w:t>.</w:t>
      </w:r>
      <w:r w:rsidR="00A80FDC" w:rsidRPr="003B46A9">
        <w:rPr>
          <w:rFonts w:ascii="Arial" w:hAnsi="Arial" w:cs="Arial"/>
        </w:rPr>
        <w:t xml:space="preserve"> </w:t>
      </w:r>
      <w:r w:rsidR="00013EF9">
        <w:rPr>
          <w:rFonts w:ascii="Arial" w:hAnsi="Arial" w:cs="Arial"/>
        </w:rPr>
        <w:t xml:space="preserve"> Table 6</w:t>
      </w:r>
      <w:r w:rsidR="000E5748" w:rsidRPr="003B46A9">
        <w:rPr>
          <w:rFonts w:ascii="Arial" w:hAnsi="Arial" w:cs="Arial"/>
        </w:rPr>
        <w:t xml:space="preserve"> shows the outturn position for the Capital Programme split between the General Fund and the Housing Revenue Account:</w:t>
      </w:r>
    </w:p>
    <w:p w:rsidR="00CE1CCE" w:rsidRDefault="00CE1CCE" w:rsidP="00CE1CCE">
      <w:pPr>
        <w:ind w:left="720" w:hanging="720"/>
        <w:jc w:val="both"/>
        <w:rPr>
          <w:rFonts w:ascii="Arial" w:hAnsi="Arial" w:cs="Arial"/>
        </w:rPr>
      </w:pPr>
    </w:p>
    <w:p w:rsidR="00F4505A" w:rsidRPr="00F4505A" w:rsidRDefault="00CE1CCE" w:rsidP="00CE1CCE">
      <w:pPr>
        <w:spacing w:after="200"/>
        <w:rPr>
          <w:rFonts w:ascii="Arial" w:hAnsi="Arial" w:cs="Arial"/>
        </w:rPr>
      </w:pPr>
      <w:r>
        <w:rPr>
          <w:rFonts w:ascii="Arial" w:hAnsi="Arial" w:cs="Arial"/>
        </w:rPr>
        <w:tab/>
      </w:r>
      <w:r w:rsidR="00013EF9">
        <w:rPr>
          <w:rFonts w:ascii="Arial" w:hAnsi="Arial" w:cs="Arial"/>
        </w:rPr>
        <w:t>Table 6</w:t>
      </w:r>
      <w:r w:rsidR="00F4505A" w:rsidRPr="00F4505A">
        <w:rPr>
          <w:rFonts w:ascii="Arial" w:hAnsi="Arial" w:cs="Arial"/>
        </w:rPr>
        <w:t xml:space="preserve"> – </w:t>
      </w:r>
      <w:r w:rsidR="006E17AB">
        <w:rPr>
          <w:rFonts w:ascii="Arial" w:hAnsi="Arial" w:cs="Arial"/>
        </w:rPr>
        <w:t>Capital Outturn Position</w:t>
      </w:r>
    </w:p>
    <w:p w:rsidR="00F4505A" w:rsidRPr="00F4505A" w:rsidRDefault="00F4505A" w:rsidP="00A80FDC">
      <w:pPr>
        <w:rPr>
          <w:rFonts w:ascii="Arial" w:hAnsi="Arial" w:cs="Arial"/>
        </w:rPr>
      </w:pPr>
    </w:p>
    <w:p w:rsidR="000E5748" w:rsidRDefault="00E479DA" w:rsidP="00A80FDC">
      <w:pPr>
        <w:rPr>
          <w:rFonts w:ascii="Arial" w:hAnsi="Arial" w:cs="Arial"/>
          <w:b/>
        </w:rPr>
      </w:pPr>
      <w:r w:rsidRPr="00E479DA">
        <w:rPr>
          <w:noProof/>
        </w:rPr>
        <w:drawing>
          <wp:inline distT="0" distB="0" distL="0" distR="0">
            <wp:extent cx="5731510" cy="1724786"/>
            <wp:effectExtent l="0" t="0" r="254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724786"/>
                    </a:xfrm>
                    <a:prstGeom prst="rect">
                      <a:avLst/>
                    </a:prstGeom>
                    <a:noFill/>
                    <a:ln>
                      <a:noFill/>
                    </a:ln>
                  </pic:spPr>
                </pic:pic>
              </a:graphicData>
            </a:graphic>
          </wp:inline>
        </w:drawing>
      </w:r>
    </w:p>
    <w:p w:rsidR="000E5748" w:rsidRDefault="000E5748" w:rsidP="00A80FDC">
      <w:pPr>
        <w:rPr>
          <w:rFonts w:ascii="Arial" w:hAnsi="Arial" w:cs="Arial"/>
          <w:b/>
        </w:rPr>
      </w:pPr>
    </w:p>
    <w:p w:rsidR="00A80FDC" w:rsidRPr="00C34BE6" w:rsidRDefault="004A1F41" w:rsidP="00CE1CCE">
      <w:pPr>
        <w:ind w:left="720" w:hanging="720"/>
        <w:rPr>
          <w:rFonts w:ascii="Arial" w:hAnsi="Arial" w:cs="Arial"/>
        </w:rPr>
      </w:pPr>
      <w:r>
        <w:rPr>
          <w:rFonts w:ascii="Arial" w:hAnsi="Arial" w:cs="Arial"/>
        </w:rPr>
        <w:t>3.</w:t>
      </w:r>
      <w:r w:rsidR="00D83052">
        <w:rPr>
          <w:rFonts w:ascii="Arial" w:hAnsi="Arial" w:cs="Arial"/>
        </w:rPr>
        <w:t>7</w:t>
      </w:r>
      <w:r>
        <w:rPr>
          <w:rFonts w:ascii="Arial" w:hAnsi="Arial" w:cs="Arial"/>
        </w:rPr>
        <w:t>.2</w:t>
      </w:r>
      <w:r>
        <w:rPr>
          <w:rFonts w:ascii="Arial" w:hAnsi="Arial" w:cs="Arial"/>
        </w:rPr>
        <w:tab/>
      </w:r>
      <w:r w:rsidR="006529DB" w:rsidRPr="00C34BE6">
        <w:rPr>
          <w:rFonts w:ascii="Arial" w:hAnsi="Arial" w:cs="Arial"/>
        </w:rPr>
        <w:t>The Council received capital receipts from the sale of land</w:t>
      </w:r>
      <w:r w:rsidR="005B48EA" w:rsidRPr="00C34BE6">
        <w:rPr>
          <w:rFonts w:ascii="Arial" w:hAnsi="Arial" w:cs="Arial"/>
        </w:rPr>
        <w:t>,</w:t>
      </w:r>
      <w:r w:rsidR="006529DB" w:rsidRPr="00C34BE6">
        <w:rPr>
          <w:rFonts w:ascii="Arial" w:hAnsi="Arial" w:cs="Arial"/>
        </w:rPr>
        <w:t xml:space="preserve"> b</w:t>
      </w:r>
      <w:r w:rsidR="005E2459" w:rsidRPr="00C34BE6">
        <w:rPr>
          <w:rFonts w:ascii="Arial" w:hAnsi="Arial" w:cs="Arial"/>
        </w:rPr>
        <w:t xml:space="preserve">uildings </w:t>
      </w:r>
      <w:r w:rsidR="005B48EA" w:rsidRPr="00C34BE6">
        <w:rPr>
          <w:rFonts w:ascii="Arial" w:hAnsi="Arial" w:cs="Arial"/>
        </w:rPr>
        <w:t xml:space="preserve">and vehicles </w:t>
      </w:r>
      <w:r w:rsidR="005E2459" w:rsidRPr="00C34BE6">
        <w:rPr>
          <w:rFonts w:ascii="Arial" w:hAnsi="Arial" w:cs="Arial"/>
        </w:rPr>
        <w:t>totalling £</w:t>
      </w:r>
      <w:r w:rsidR="005B48EA" w:rsidRPr="00C34BE6">
        <w:rPr>
          <w:rFonts w:ascii="Arial" w:hAnsi="Arial" w:cs="Arial"/>
        </w:rPr>
        <w:t>7,</w:t>
      </w:r>
      <w:r w:rsidR="00DE722A">
        <w:rPr>
          <w:rFonts w:ascii="Arial" w:hAnsi="Arial" w:cs="Arial"/>
        </w:rPr>
        <w:t>135</w:t>
      </w:r>
      <w:r w:rsidR="005E2459" w:rsidRPr="00C34BE6">
        <w:rPr>
          <w:rFonts w:ascii="Arial" w:hAnsi="Arial" w:cs="Arial"/>
        </w:rPr>
        <w:t>m</w:t>
      </w:r>
      <w:r w:rsidR="006529DB" w:rsidRPr="00C34BE6">
        <w:rPr>
          <w:rFonts w:ascii="Arial" w:hAnsi="Arial" w:cs="Arial"/>
        </w:rPr>
        <w:t xml:space="preserve"> </w:t>
      </w:r>
      <w:r w:rsidR="00EC0BA5" w:rsidRPr="00C34BE6">
        <w:rPr>
          <w:rFonts w:ascii="Arial" w:hAnsi="Arial" w:cs="Arial"/>
        </w:rPr>
        <w:t>and capital receipts from the repayment of</w:t>
      </w:r>
      <w:r w:rsidR="005B48EA" w:rsidRPr="00C34BE6">
        <w:rPr>
          <w:rFonts w:ascii="Arial" w:hAnsi="Arial" w:cs="Arial"/>
        </w:rPr>
        <w:t xml:space="preserve"> loans made by the Council of £4</w:t>
      </w:r>
      <w:r w:rsidR="00EC0BA5" w:rsidRPr="00C34BE6">
        <w:rPr>
          <w:rFonts w:ascii="Arial" w:hAnsi="Arial" w:cs="Arial"/>
        </w:rPr>
        <w:t>.</w:t>
      </w:r>
      <w:r w:rsidR="005B48EA" w:rsidRPr="00C34BE6">
        <w:rPr>
          <w:rFonts w:ascii="Arial" w:hAnsi="Arial" w:cs="Arial"/>
        </w:rPr>
        <w:t>059</w:t>
      </w:r>
      <w:r w:rsidR="009A59EA" w:rsidRPr="00C34BE6">
        <w:rPr>
          <w:rFonts w:ascii="Arial" w:hAnsi="Arial" w:cs="Arial"/>
        </w:rPr>
        <w:t>m this included £</w:t>
      </w:r>
      <w:r w:rsidR="005B48EA" w:rsidRPr="00C34BE6">
        <w:rPr>
          <w:rFonts w:ascii="Arial" w:hAnsi="Arial" w:cs="Arial"/>
        </w:rPr>
        <w:t>4</w:t>
      </w:r>
      <w:r w:rsidR="009A59EA" w:rsidRPr="00C34BE6">
        <w:rPr>
          <w:rFonts w:ascii="Arial" w:hAnsi="Arial" w:cs="Arial"/>
        </w:rPr>
        <w:t>.</w:t>
      </w:r>
      <w:r w:rsidR="005B48EA" w:rsidRPr="00C34BE6">
        <w:rPr>
          <w:rFonts w:ascii="Arial" w:hAnsi="Arial" w:cs="Arial"/>
        </w:rPr>
        <w:t>029</w:t>
      </w:r>
      <w:r w:rsidR="009A59EA" w:rsidRPr="00C34BE6">
        <w:rPr>
          <w:rFonts w:ascii="Arial" w:hAnsi="Arial" w:cs="Arial"/>
        </w:rPr>
        <w:t>m from Mansfield Homes Ltd</w:t>
      </w:r>
      <w:r w:rsidR="00EC0BA5" w:rsidRPr="00C34BE6">
        <w:rPr>
          <w:rFonts w:ascii="Arial" w:hAnsi="Arial" w:cs="Arial"/>
        </w:rPr>
        <w:t>.</w:t>
      </w:r>
      <w:r w:rsidR="005B48EA" w:rsidRPr="00C34BE6">
        <w:rPr>
          <w:rFonts w:ascii="Arial" w:hAnsi="Arial" w:cs="Arial"/>
        </w:rPr>
        <w:t xml:space="preserve"> </w:t>
      </w:r>
      <w:r w:rsidR="00EC0BA5" w:rsidRPr="00C34BE6">
        <w:rPr>
          <w:rFonts w:ascii="Arial" w:hAnsi="Arial" w:cs="Arial"/>
        </w:rPr>
        <w:t>C</w:t>
      </w:r>
      <w:r w:rsidR="006529DB" w:rsidRPr="00C34BE6">
        <w:rPr>
          <w:rFonts w:ascii="Arial" w:hAnsi="Arial" w:cs="Arial"/>
        </w:rPr>
        <w:t>apita</w:t>
      </w:r>
      <w:r w:rsidR="00EC0BA5" w:rsidRPr="00C34BE6">
        <w:rPr>
          <w:rFonts w:ascii="Arial" w:hAnsi="Arial" w:cs="Arial"/>
        </w:rPr>
        <w:t>l grants totalling £4.436</w:t>
      </w:r>
      <w:r w:rsidR="005E2459" w:rsidRPr="00C34BE6">
        <w:rPr>
          <w:rFonts w:ascii="Arial" w:hAnsi="Arial" w:cs="Arial"/>
        </w:rPr>
        <w:t>m</w:t>
      </w:r>
      <w:r w:rsidR="00EC0BA5" w:rsidRPr="00C34BE6">
        <w:rPr>
          <w:rFonts w:ascii="Arial" w:hAnsi="Arial" w:cs="Arial"/>
        </w:rPr>
        <w:t xml:space="preserve"> were also received</w:t>
      </w:r>
      <w:r w:rsidR="006529DB" w:rsidRPr="00C34BE6">
        <w:rPr>
          <w:rFonts w:ascii="Arial" w:hAnsi="Arial" w:cs="Arial"/>
        </w:rPr>
        <w:t xml:space="preserve">, as shown in Table </w:t>
      </w:r>
      <w:r w:rsidR="00013EF9" w:rsidRPr="00C34BE6">
        <w:rPr>
          <w:rFonts w:ascii="Arial" w:hAnsi="Arial" w:cs="Arial"/>
        </w:rPr>
        <w:t>7</w:t>
      </w:r>
      <w:r w:rsidR="006529DB" w:rsidRPr="00C34BE6">
        <w:rPr>
          <w:rFonts w:ascii="Arial" w:hAnsi="Arial" w:cs="Arial"/>
        </w:rPr>
        <w:t>:</w:t>
      </w:r>
    </w:p>
    <w:p w:rsidR="00E87BB8" w:rsidRPr="00C34BE6" w:rsidRDefault="00E87BB8" w:rsidP="00CE1CCE">
      <w:pPr>
        <w:rPr>
          <w:rFonts w:ascii="Arial" w:hAnsi="Arial" w:cs="Arial"/>
        </w:rPr>
      </w:pPr>
    </w:p>
    <w:p w:rsidR="00E87BB8" w:rsidRPr="00C34BE6" w:rsidRDefault="00E87BB8" w:rsidP="00CE1CCE">
      <w:pPr>
        <w:ind w:firstLine="720"/>
        <w:rPr>
          <w:rFonts w:ascii="Arial" w:hAnsi="Arial" w:cs="Arial"/>
        </w:rPr>
      </w:pPr>
      <w:r w:rsidRPr="00C34BE6">
        <w:rPr>
          <w:rFonts w:ascii="Arial" w:hAnsi="Arial" w:cs="Arial"/>
        </w:rPr>
        <w:t xml:space="preserve">Table </w:t>
      </w:r>
      <w:r w:rsidR="00013EF9" w:rsidRPr="00C34BE6">
        <w:rPr>
          <w:rFonts w:ascii="Arial" w:hAnsi="Arial" w:cs="Arial"/>
        </w:rPr>
        <w:t>7</w:t>
      </w:r>
      <w:r w:rsidRPr="00C34BE6">
        <w:rPr>
          <w:rFonts w:ascii="Arial" w:hAnsi="Arial" w:cs="Arial"/>
        </w:rPr>
        <w:t xml:space="preserve"> – </w:t>
      </w:r>
      <w:r w:rsidR="00ED4AB1" w:rsidRPr="00C34BE6">
        <w:rPr>
          <w:rFonts w:ascii="Arial" w:hAnsi="Arial" w:cs="Arial"/>
        </w:rPr>
        <w:t xml:space="preserve">Capital Income Received in </w:t>
      </w:r>
      <w:r w:rsidR="000677A5" w:rsidRPr="00C34BE6">
        <w:rPr>
          <w:rFonts w:ascii="Arial" w:hAnsi="Arial" w:cs="Arial"/>
        </w:rPr>
        <w:t>202</w:t>
      </w:r>
      <w:r w:rsidR="005B48EA" w:rsidRPr="00C34BE6">
        <w:rPr>
          <w:rFonts w:ascii="Arial" w:hAnsi="Arial" w:cs="Arial"/>
        </w:rPr>
        <w:t>1</w:t>
      </w:r>
      <w:r w:rsidR="000677A5" w:rsidRPr="00C34BE6">
        <w:rPr>
          <w:rFonts w:ascii="Arial" w:hAnsi="Arial" w:cs="Arial"/>
        </w:rPr>
        <w:t>/2</w:t>
      </w:r>
      <w:r w:rsidR="005B48EA" w:rsidRPr="00C34BE6">
        <w:rPr>
          <w:rFonts w:ascii="Arial" w:hAnsi="Arial" w:cs="Arial"/>
        </w:rPr>
        <w:t>2</w:t>
      </w:r>
    </w:p>
    <w:p w:rsidR="00E87BB8" w:rsidRPr="00C34BE6" w:rsidRDefault="00E87BB8" w:rsidP="00A80FDC">
      <w:pPr>
        <w:rPr>
          <w:rFonts w:ascii="Arial" w:hAnsi="Arial" w:cs="Arial"/>
        </w:rPr>
      </w:pPr>
    </w:p>
    <w:p w:rsidR="00E87BB8" w:rsidRPr="009D7805" w:rsidRDefault="00E479DA" w:rsidP="00A80FDC">
      <w:pPr>
        <w:rPr>
          <w:rFonts w:ascii="Arial" w:hAnsi="Arial" w:cs="Arial"/>
          <w:highlight w:val="yellow"/>
        </w:rPr>
      </w:pPr>
      <w:r w:rsidRPr="00E479DA">
        <w:rPr>
          <w:noProof/>
        </w:rPr>
        <w:drawing>
          <wp:inline distT="0" distB="0" distL="0" distR="0">
            <wp:extent cx="5247640" cy="182054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7640" cy="1820545"/>
                    </a:xfrm>
                    <a:prstGeom prst="rect">
                      <a:avLst/>
                    </a:prstGeom>
                    <a:noFill/>
                    <a:ln>
                      <a:noFill/>
                    </a:ln>
                  </pic:spPr>
                </pic:pic>
              </a:graphicData>
            </a:graphic>
          </wp:inline>
        </w:drawing>
      </w:r>
    </w:p>
    <w:p w:rsidR="00E87BB8" w:rsidRPr="009D7805" w:rsidRDefault="00E87BB8" w:rsidP="00A80FDC">
      <w:pPr>
        <w:rPr>
          <w:rFonts w:ascii="Arial" w:hAnsi="Arial" w:cs="Arial"/>
          <w:highlight w:val="yellow"/>
        </w:rPr>
      </w:pPr>
    </w:p>
    <w:p w:rsidR="00A80FDC" w:rsidRPr="00C34BE6" w:rsidRDefault="00D83052" w:rsidP="00CE1CCE">
      <w:pPr>
        <w:ind w:left="720" w:hanging="720"/>
        <w:rPr>
          <w:rFonts w:ascii="Arial" w:hAnsi="Arial" w:cs="Arial"/>
        </w:rPr>
      </w:pPr>
      <w:r>
        <w:rPr>
          <w:rFonts w:ascii="Arial" w:hAnsi="Arial" w:cs="Arial"/>
        </w:rPr>
        <w:t>3.7</w:t>
      </w:r>
      <w:r w:rsidR="004A1F41" w:rsidRPr="00C34BE6">
        <w:rPr>
          <w:rFonts w:ascii="Arial" w:hAnsi="Arial" w:cs="Arial"/>
        </w:rPr>
        <w:t>.3</w:t>
      </w:r>
      <w:r w:rsidR="004A1F41" w:rsidRPr="00C34BE6">
        <w:rPr>
          <w:rFonts w:ascii="Arial" w:hAnsi="Arial" w:cs="Arial"/>
        </w:rPr>
        <w:tab/>
      </w:r>
      <w:r w:rsidR="00A80FDC" w:rsidRPr="00C34BE6">
        <w:rPr>
          <w:rFonts w:ascii="Arial" w:hAnsi="Arial" w:cs="Arial"/>
        </w:rPr>
        <w:t xml:space="preserve">Capital expenditure incurred throughout </w:t>
      </w:r>
      <w:r w:rsidR="000677A5" w:rsidRPr="00C34BE6">
        <w:rPr>
          <w:rFonts w:ascii="Arial" w:hAnsi="Arial" w:cs="Arial"/>
        </w:rPr>
        <w:t>202</w:t>
      </w:r>
      <w:r w:rsidR="00C34BE6" w:rsidRPr="00C34BE6">
        <w:rPr>
          <w:rFonts w:ascii="Arial" w:hAnsi="Arial" w:cs="Arial"/>
        </w:rPr>
        <w:t>1</w:t>
      </w:r>
      <w:r w:rsidR="000677A5" w:rsidRPr="00C34BE6">
        <w:rPr>
          <w:rFonts w:ascii="Arial" w:hAnsi="Arial" w:cs="Arial"/>
        </w:rPr>
        <w:t>/2</w:t>
      </w:r>
      <w:r w:rsidR="00C34BE6" w:rsidRPr="00C34BE6">
        <w:rPr>
          <w:rFonts w:ascii="Arial" w:hAnsi="Arial" w:cs="Arial"/>
        </w:rPr>
        <w:t>2</w:t>
      </w:r>
      <w:r w:rsidR="000677A5" w:rsidRPr="00C34BE6">
        <w:rPr>
          <w:rFonts w:ascii="Arial" w:hAnsi="Arial" w:cs="Arial"/>
        </w:rPr>
        <w:t xml:space="preserve"> </w:t>
      </w:r>
      <w:r w:rsidR="00A80FDC" w:rsidRPr="00C34BE6">
        <w:rPr>
          <w:rFonts w:ascii="Arial" w:hAnsi="Arial" w:cs="Arial"/>
        </w:rPr>
        <w:t xml:space="preserve">requires financing at the year end.  The capital financing in Table </w:t>
      </w:r>
      <w:r w:rsidR="00013EF9" w:rsidRPr="00C34BE6">
        <w:rPr>
          <w:rFonts w:ascii="Arial" w:hAnsi="Arial" w:cs="Arial"/>
        </w:rPr>
        <w:t>8</w:t>
      </w:r>
      <w:r w:rsidR="00A80FDC" w:rsidRPr="00C34BE6">
        <w:rPr>
          <w:rFonts w:ascii="Arial" w:hAnsi="Arial" w:cs="Arial"/>
        </w:rPr>
        <w:t xml:space="preserve"> utilises available </w:t>
      </w:r>
      <w:r w:rsidR="00CC1996">
        <w:rPr>
          <w:rFonts w:ascii="Arial" w:hAnsi="Arial" w:cs="Arial"/>
        </w:rPr>
        <w:t>reserves, capital grants</w:t>
      </w:r>
      <w:r w:rsidR="00A80FDC" w:rsidRPr="00C34BE6">
        <w:rPr>
          <w:rFonts w:ascii="Arial" w:hAnsi="Arial" w:cs="Arial"/>
        </w:rPr>
        <w:t xml:space="preserve"> and </w:t>
      </w:r>
      <w:r w:rsidR="00CC1996">
        <w:rPr>
          <w:rFonts w:ascii="Arial" w:hAnsi="Arial" w:cs="Arial"/>
        </w:rPr>
        <w:t>capital receipts</w:t>
      </w:r>
      <w:r w:rsidR="00A80FDC" w:rsidRPr="00C34BE6">
        <w:rPr>
          <w:rFonts w:ascii="Arial" w:hAnsi="Arial" w:cs="Arial"/>
        </w:rPr>
        <w:t xml:space="preserve">. </w:t>
      </w:r>
    </w:p>
    <w:p w:rsidR="00E87BB8" w:rsidRPr="00C34BE6" w:rsidRDefault="00E87BB8" w:rsidP="00CE1CCE">
      <w:pPr>
        <w:rPr>
          <w:rFonts w:ascii="Arial" w:hAnsi="Arial" w:cs="Arial"/>
        </w:rPr>
      </w:pPr>
    </w:p>
    <w:p w:rsidR="00ED4AB1" w:rsidRPr="00C34BE6" w:rsidRDefault="0034296C" w:rsidP="00CE1CCE">
      <w:pPr>
        <w:spacing w:after="200"/>
        <w:rPr>
          <w:rFonts w:ascii="Arial" w:hAnsi="Arial" w:cs="Arial"/>
        </w:rPr>
      </w:pPr>
      <w:r w:rsidRPr="00C34BE6">
        <w:rPr>
          <w:rFonts w:ascii="Arial" w:hAnsi="Arial" w:cs="Arial"/>
        </w:rPr>
        <w:tab/>
      </w:r>
      <w:r w:rsidR="00ED4AB1" w:rsidRPr="00C34BE6">
        <w:rPr>
          <w:rFonts w:ascii="Arial" w:hAnsi="Arial" w:cs="Arial"/>
        </w:rPr>
        <w:t xml:space="preserve">Table </w:t>
      </w:r>
      <w:r w:rsidR="00013EF9" w:rsidRPr="00C34BE6">
        <w:rPr>
          <w:rFonts w:ascii="Arial" w:hAnsi="Arial" w:cs="Arial"/>
        </w:rPr>
        <w:t>8</w:t>
      </w:r>
      <w:r w:rsidR="00ED4AB1" w:rsidRPr="00C34BE6">
        <w:rPr>
          <w:rFonts w:ascii="Arial" w:hAnsi="Arial" w:cs="Arial"/>
        </w:rPr>
        <w:t xml:space="preserve"> – Financing of the </w:t>
      </w:r>
      <w:r w:rsidR="000677A5" w:rsidRPr="00C34BE6">
        <w:rPr>
          <w:rFonts w:ascii="Arial" w:hAnsi="Arial" w:cs="Arial"/>
        </w:rPr>
        <w:t>202</w:t>
      </w:r>
      <w:r w:rsidR="00C34BE6" w:rsidRPr="00C34BE6">
        <w:rPr>
          <w:rFonts w:ascii="Arial" w:hAnsi="Arial" w:cs="Arial"/>
        </w:rPr>
        <w:t>1</w:t>
      </w:r>
      <w:r w:rsidR="000677A5" w:rsidRPr="00C34BE6">
        <w:rPr>
          <w:rFonts w:ascii="Arial" w:hAnsi="Arial" w:cs="Arial"/>
        </w:rPr>
        <w:t>/2</w:t>
      </w:r>
      <w:r w:rsidR="00C34BE6" w:rsidRPr="00C34BE6">
        <w:rPr>
          <w:rFonts w:ascii="Arial" w:hAnsi="Arial" w:cs="Arial"/>
        </w:rPr>
        <w:t>2</w:t>
      </w:r>
      <w:r w:rsidR="000677A5" w:rsidRPr="00C34BE6">
        <w:rPr>
          <w:rFonts w:ascii="Arial" w:hAnsi="Arial" w:cs="Arial"/>
        </w:rPr>
        <w:t xml:space="preserve"> </w:t>
      </w:r>
      <w:r w:rsidR="00ED4AB1" w:rsidRPr="00C34BE6">
        <w:rPr>
          <w:rFonts w:ascii="Arial" w:hAnsi="Arial" w:cs="Arial"/>
        </w:rPr>
        <w:t>Capital Programme</w:t>
      </w:r>
    </w:p>
    <w:p w:rsidR="00ED4AB1" w:rsidRPr="009D7805" w:rsidRDefault="00ED4AB1" w:rsidP="00A80FDC">
      <w:pPr>
        <w:rPr>
          <w:rFonts w:ascii="Arial" w:hAnsi="Arial" w:cs="Arial"/>
          <w:highlight w:val="yellow"/>
        </w:rPr>
      </w:pPr>
    </w:p>
    <w:p w:rsidR="00E87BB8" w:rsidRPr="00E479DA" w:rsidRDefault="00E479DA" w:rsidP="00A80FDC">
      <w:pPr>
        <w:rPr>
          <w:rFonts w:ascii="Arial" w:hAnsi="Arial" w:cs="Arial"/>
        </w:rPr>
      </w:pPr>
      <w:r w:rsidRPr="00E479DA">
        <w:rPr>
          <w:noProof/>
        </w:rPr>
        <w:drawing>
          <wp:inline distT="0" distB="0" distL="0" distR="0">
            <wp:extent cx="4019618" cy="228997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3766" cy="2292339"/>
                    </a:xfrm>
                    <a:prstGeom prst="rect">
                      <a:avLst/>
                    </a:prstGeom>
                    <a:noFill/>
                    <a:ln>
                      <a:noFill/>
                    </a:ln>
                  </pic:spPr>
                </pic:pic>
              </a:graphicData>
            </a:graphic>
          </wp:inline>
        </w:drawing>
      </w:r>
    </w:p>
    <w:p w:rsidR="00E87BB8" w:rsidRPr="009D7805" w:rsidRDefault="00E87BB8" w:rsidP="00A80FDC">
      <w:pPr>
        <w:rPr>
          <w:rFonts w:ascii="Arial" w:hAnsi="Arial" w:cs="Arial"/>
          <w:highlight w:val="yellow"/>
        </w:rPr>
      </w:pPr>
    </w:p>
    <w:p w:rsidR="00A80FDC" w:rsidRPr="009178A3" w:rsidRDefault="004A1F41" w:rsidP="00CE1CCE">
      <w:pPr>
        <w:ind w:left="720" w:hanging="720"/>
        <w:jc w:val="both"/>
        <w:rPr>
          <w:rFonts w:ascii="Arial" w:hAnsi="Arial" w:cs="Arial"/>
        </w:rPr>
      </w:pPr>
      <w:r w:rsidRPr="009178A3">
        <w:rPr>
          <w:rFonts w:ascii="Arial" w:hAnsi="Arial" w:cs="Arial"/>
        </w:rPr>
        <w:t>3.</w:t>
      </w:r>
      <w:r w:rsidR="00D83052">
        <w:rPr>
          <w:rFonts w:ascii="Arial" w:hAnsi="Arial" w:cs="Arial"/>
        </w:rPr>
        <w:t>7</w:t>
      </w:r>
      <w:r w:rsidRPr="009178A3">
        <w:rPr>
          <w:rFonts w:ascii="Arial" w:hAnsi="Arial" w:cs="Arial"/>
        </w:rPr>
        <w:t>.4</w:t>
      </w:r>
      <w:r w:rsidRPr="009178A3">
        <w:rPr>
          <w:rFonts w:ascii="Arial" w:hAnsi="Arial" w:cs="Arial"/>
        </w:rPr>
        <w:tab/>
      </w:r>
      <w:r w:rsidR="00F75A2D" w:rsidRPr="009178A3">
        <w:rPr>
          <w:rFonts w:ascii="Arial" w:hAnsi="Arial" w:cs="Arial"/>
        </w:rPr>
        <w:t xml:space="preserve">The proposed method of financing includes </w:t>
      </w:r>
      <w:r w:rsidR="003949C3" w:rsidRPr="009178A3">
        <w:rPr>
          <w:rFonts w:ascii="Arial" w:hAnsi="Arial" w:cs="Arial"/>
        </w:rPr>
        <w:t>no additional borrowing as all the expenditure is to be financed from the Council’s resources</w:t>
      </w:r>
      <w:r w:rsidR="00F75A2D" w:rsidRPr="009178A3">
        <w:rPr>
          <w:rFonts w:ascii="Arial" w:hAnsi="Arial" w:cs="Arial"/>
        </w:rPr>
        <w:t>.</w:t>
      </w:r>
    </w:p>
    <w:p w:rsidR="00ED4AB1" w:rsidRPr="009178A3" w:rsidRDefault="00ED4AB1" w:rsidP="00CE1CCE">
      <w:pPr>
        <w:jc w:val="both"/>
        <w:rPr>
          <w:rFonts w:ascii="Arial" w:hAnsi="Arial" w:cs="Arial"/>
          <w:b/>
        </w:rPr>
      </w:pPr>
    </w:p>
    <w:p w:rsidR="00CE46CD" w:rsidRPr="00A80FDC" w:rsidRDefault="00D83052" w:rsidP="00CE1CCE">
      <w:pPr>
        <w:ind w:left="720" w:hanging="720"/>
        <w:jc w:val="both"/>
        <w:rPr>
          <w:rFonts w:ascii="Arial" w:hAnsi="Arial" w:cs="Arial"/>
        </w:rPr>
      </w:pPr>
      <w:r>
        <w:rPr>
          <w:rFonts w:ascii="Arial" w:hAnsi="Arial" w:cs="Arial"/>
        </w:rPr>
        <w:t>3.7</w:t>
      </w:r>
      <w:r w:rsidR="004A1F41" w:rsidRPr="009178A3">
        <w:rPr>
          <w:rFonts w:ascii="Arial" w:hAnsi="Arial" w:cs="Arial"/>
        </w:rPr>
        <w:t>.5</w:t>
      </w:r>
      <w:r w:rsidR="004A1F41" w:rsidRPr="009178A3">
        <w:rPr>
          <w:rFonts w:ascii="Arial" w:hAnsi="Arial" w:cs="Arial"/>
        </w:rPr>
        <w:tab/>
      </w:r>
      <w:r w:rsidR="00F75A2D" w:rsidRPr="009178A3">
        <w:rPr>
          <w:rFonts w:ascii="Arial" w:hAnsi="Arial" w:cs="Arial"/>
        </w:rPr>
        <w:t xml:space="preserve">Project officers have requested the carry forward of unspent expenditure budgets to the </w:t>
      </w:r>
      <w:r w:rsidR="000677A5" w:rsidRPr="009178A3">
        <w:rPr>
          <w:rFonts w:ascii="Arial" w:hAnsi="Arial" w:cs="Arial"/>
        </w:rPr>
        <w:t>202</w:t>
      </w:r>
      <w:r w:rsidR="00CC1996" w:rsidRPr="009178A3">
        <w:rPr>
          <w:rFonts w:ascii="Arial" w:hAnsi="Arial" w:cs="Arial"/>
        </w:rPr>
        <w:t>2</w:t>
      </w:r>
      <w:r w:rsidR="000677A5" w:rsidRPr="009178A3">
        <w:rPr>
          <w:rFonts w:ascii="Arial" w:hAnsi="Arial" w:cs="Arial"/>
        </w:rPr>
        <w:t>/2</w:t>
      </w:r>
      <w:r w:rsidR="00CC1996" w:rsidRPr="009178A3">
        <w:rPr>
          <w:rFonts w:ascii="Arial" w:hAnsi="Arial" w:cs="Arial"/>
        </w:rPr>
        <w:t>3</w:t>
      </w:r>
      <w:r w:rsidR="000677A5" w:rsidRPr="009178A3">
        <w:rPr>
          <w:rFonts w:ascii="Arial" w:hAnsi="Arial" w:cs="Arial"/>
        </w:rPr>
        <w:t xml:space="preserve"> </w:t>
      </w:r>
      <w:r w:rsidR="00F75A2D" w:rsidRPr="009178A3">
        <w:rPr>
          <w:rFonts w:ascii="Arial" w:hAnsi="Arial" w:cs="Arial"/>
        </w:rPr>
        <w:t>Capital Programme totalling £</w:t>
      </w:r>
      <w:r w:rsidR="00CC1996" w:rsidRPr="009178A3">
        <w:rPr>
          <w:rFonts w:ascii="Arial" w:hAnsi="Arial" w:cs="Arial"/>
        </w:rPr>
        <w:t>53</w:t>
      </w:r>
      <w:r w:rsidR="00F75A2D" w:rsidRPr="009178A3">
        <w:rPr>
          <w:rFonts w:ascii="Arial" w:hAnsi="Arial" w:cs="Arial"/>
        </w:rPr>
        <w:t>.</w:t>
      </w:r>
      <w:r w:rsidR="00CC1996" w:rsidRPr="009178A3">
        <w:rPr>
          <w:rFonts w:ascii="Arial" w:hAnsi="Arial" w:cs="Arial"/>
        </w:rPr>
        <w:t>362</w:t>
      </w:r>
      <w:r w:rsidR="005E2459" w:rsidRPr="009178A3">
        <w:rPr>
          <w:rFonts w:ascii="Arial" w:hAnsi="Arial" w:cs="Arial"/>
        </w:rPr>
        <w:t>m</w:t>
      </w:r>
      <w:r w:rsidR="00F75A2D" w:rsidRPr="009178A3">
        <w:rPr>
          <w:rFonts w:ascii="Arial" w:hAnsi="Arial" w:cs="Arial"/>
        </w:rPr>
        <w:t>, this being £</w:t>
      </w:r>
      <w:r w:rsidR="00CC1996" w:rsidRPr="009178A3">
        <w:rPr>
          <w:rFonts w:ascii="Arial" w:hAnsi="Arial" w:cs="Arial"/>
        </w:rPr>
        <w:t>11.058</w:t>
      </w:r>
      <w:r w:rsidR="005E2459" w:rsidRPr="009178A3">
        <w:rPr>
          <w:rFonts w:ascii="Arial" w:hAnsi="Arial" w:cs="Arial"/>
        </w:rPr>
        <w:t>m</w:t>
      </w:r>
      <w:r w:rsidR="00F75A2D" w:rsidRPr="009178A3">
        <w:rPr>
          <w:rFonts w:ascii="Arial" w:hAnsi="Arial" w:cs="Arial"/>
        </w:rPr>
        <w:t xml:space="preserve"> for the General Fund a</w:t>
      </w:r>
      <w:r w:rsidR="005E2459" w:rsidRPr="009178A3">
        <w:rPr>
          <w:rFonts w:ascii="Arial" w:hAnsi="Arial" w:cs="Arial"/>
        </w:rPr>
        <w:t>nd £</w:t>
      </w:r>
      <w:r w:rsidR="00CC1996" w:rsidRPr="009178A3">
        <w:rPr>
          <w:rFonts w:ascii="Arial" w:hAnsi="Arial" w:cs="Arial"/>
        </w:rPr>
        <w:t>4</w:t>
      </w:r>
      <w:r w:rsidR="00C47B83" w:rsidRPr="009178A3">
        <w:rPr>
          <w:rFonts w:ascii="Arial" w:hAnsi="Arial" w:cs="Arial"/>
        </w:rPr>
        <w:t>2</w:t>
      </w:r>
      <w:r w:rsidR="005E2459" w:rsidRPr="009178A3">
        <w:rPr>
          <w:rFonts w:ascii="Arial" w:hAnsi="Arial" w:cs="Arial"/>
        </w:rPr>
        <w:t>.</w:t>
      </w:r>
      <w:r w:rsidR="00CC1996" w:rsidRPr="009178A3">
        <w:rPr>
          <w:rFonts w:ascii="Arial" w:hAnsi="Arial" w:cs="Arial"/>
        </w:rPr>
        <w:t>304</w:t>
      </w:r>
      <w:r w:rsidR="005E2459" w:rsidRPr="009178A3">
        <w:rPr>
          <w:rFonts w:ascii="Arial" w:hAnsi="Arial" w:cs="Arial"/>
        </w:rPr>
        <w:t>m</w:t>
      </w:r>
      <w:r w:rsidR="00F75A2D" w:rsidRPr="009178A3">
        <w:rPr>
          <w:rFonts w:ascii="Arial" w:hAnsi="Arial" w:cs="Arial"/>
        </w:rPr>
        <w:t xml:space="preserve"> for the HRA.  These budgets and the associated income budgets of £</w:t>
      </w:r>
      <w:r w:rsidR="009178A3" w:rsidRPr="009178A3">
        <w:rPr>
          <w:rFonts w:ascii="Arial" w:hAnsi="Arial" w:cs="Arial"/>
        </w:rPr>
        <w:t>160</w:t>
      </w:r>
      <w:r w:rsidR="00F75A2D" w:rsidRPr="009178A3">
        <w:rPr>
          <w:rFonts w:ascii="Arial" w:hAnsi="Arial" w:cs="Arial"/>
        </w:rPr>
        <w:t xml:space="preserve">,000 need to be carried forward into </w:t>
      </w:r>
      <w:r w:rsidR="00A339F9" w:rsidRPr="009178A3">
        <w:rPr>
          <w:rFonts w:ascii="Arial" w:hAnsi="Arial" w:cs="Arial"/>
        </w:rPr>
        <w:t>202</w:t>
      </w:r>
      <w:r w:rsidR="00CC1996" w:rsidRPr="009178A3">
        <w:rPr>
          <w:rFonts w:ascii="Arial" w:hAnsi="Arial" w:cs="Arial"/>
        </w:rPr>
        <w:t>2</w:t>
      </w:r>
      <w:r w:rsidR="000677A5" w:rsidRPr="009178A3">
        <w:rPr>
          <w:rFonts w:ascii="Arial" w:hAnsi="Arial" w:cs="Arial"/>
        </w:rPr>
        <w:t>/2</w:t>
      </w:r>
      <w:r w:rsidR="00CC1996" w:rsidRPr="009178A3">
        <w:rPr>
          <w:rFonts w:ascii="Arial" w:hAnsi="Arial" w:cs="Arial"/>
        </w:rPr>
        <w:t>3</w:t>
      </w:r>
      <w:r w:rsidR="000677A5" w:rsidRPr="009178A3">
        <w:rPr>
          <w:rFonts w:ascii="Arial" w:hAnsi="Arial" w:cs="Arial"/>
        </w:rPr>
        <w:t xml:space="preserve"> </w:t>
      </w:r>
      <w:r w:rsidR="00F75A2D" w:rsidRPr="009178A3">
        <w:rPr>
          <w:rFonts w:ascii="Arial" w:hAnsi="Arial" w:cs="Arial"/>
        </w:rPr>
        <w:t xml:space="preserve">in order to allow for the continuation of these schemes.  A schedule of the budgets requested to be carried forward are included in </w:t>
      </w:r>
      <w:r w:rsidR="00013EF9" w:rsidRPr="009178A3">
        <w:rPr>
          <w:rFonts w:ascii="Arial" w:hAnsi="Arial" w:cs="Arial"/>
        </w:rPr>
        <w:t>A</w:t>
      </w:r>
      <w:r w:rsidR="00F75A2D" w:rsidRPr="009178A3">
        <w:rPr>
          <w:rFonts w:ascii="Arial" w:hAnsi="Arial" w:cs="Arial"/>
        </w:rPr>
        <w:t xml:space="preserve">ppendix </w:t>
      </w:r>
      <w:r w:rsidR="00CC1996" w:rsidRPr="009178A3">
        <w:rPr>
          <w:rFonts w:ascii="Arial" w:hAnsi="Arial" w:cs="Arial"/>
        </w:rPr>
        <w:t>4</w:t>
      </w:r>
      <w:r w:rsidR="00013EF9" w:rsidRPr="009178A3">
        <w:rPr>
          <w:rFonts w:ascii="Arial" w:hAnsi="Arial" w:cs="Arial"/>
        </w:rPr>
        <w:t xml:space="preserve"> (General Fund) and Appendix </w:t>
      </w:r>
      <w:r w:rsidR="00CC1996" w:rsidRPr="009178A3">
        <w:rPr>
          <w:rFonts w:ascii="Arial" w:hAnsi="Arial" w:cs="Arial"/>
        </w:rPr>
        <w:t>5</w:t>
      </w:r>
      <w:r w:rsidR="00F75A2D" w:rsidRPr="009178A3">
        <w:rPr>
          <w:rFonts w:ascii="Arial" w:hAnsi="Arial" w:cs="Arial"/>
        </w:rPr>
        <w:t xml:space="preserve"> (Housing Revenue Account) to this report.</w:t>
      </w:r>
    </w:p>
    <w:p w:rsidR="00CE46CD" w:rsidRDefault="00CE46CD" w:rsidP="00CE1CCE">
      <w:pPr>
        <w:rPr>
          <w:rFonts w:ascii="Arial" w:hAnsi="Arial" w:cs="Arial"/>
        </w:rPr>
      </w:pPr>
    </w:p>
    <w:p w:rsidR="003F6E31" w:rsidRPr="00A80FDC" w:rsidRDefault="003F6E31" w:rsidP="00CE1CCE">
      <w:pPr>
        <w:rPr>
          <w:rFonts w:ascii="Arial" w:hAnsi="Arial" w:cs="Arial"/>
        </w:rPr>
      </w:pPr>
    </w:p>
    <w:p w:rsidR="00F4505A" w:rsidRPr="00023672" w:rsidRDefault="00F4505A" w:rsidP="00CE1CCE">
      <w:pPr>
        <w:rPr>
          <w:rFonts w:ascii="Arial" w:hAnsi="Arial" w:cs="Arial"/>
          <w:b/>
        </w:rPr>
      </w:pPr>
      <w:r w:rsidRPr="00023672">
        <w:rPr>
          <w:rFonts w:ascii="Arial" w:hAnsi="Arial" w:cs="Arial"/>
          <w:b/>
        </w:rPr>
        <w:t>4.</w:t>
      </w:r>
      <w:r w:rsidRPr="00023672">
        <w:rPr>
          <w:rFonts w:ascii="Arial" w:hAnsi="Arial" w:cs="Arial"/>
          <w:b/>
        </w:rPr>
        <w:tab/>
        <w:t>OPTIONS AVAILABLE</w:t>
      </w:r>
    </w:p>
    <w:p w:rsidR="00F4505A" w:rsidRPr="00023672" w:rsidRDefault="00F4505A" w:rsidP="00CE1CCE">
      <w:pPr>
        <w:rPr>
          <w:rFonts w:ascii="Arial" w:hAnsi="Arial" w:cs="Arial"/>
        </w:rPr>
      </w:pPr>
    </w:p>
    <w:p w:rsidR="00F4505A" w:rsidRPr="00023672" w:rsidRDefault="00F4505A" w:rsidP="00CE1CCE">
      <w:pPr>
        <w:ind w:firstLine="720"/>
        <w:rPr>
          <w:rFonts w:ascii="Arial" w:hAnsi="Arial" w:cs="Arial"/>
        </w:rPr>
      </w:pPr>
      <w:r w:rsidRPr="00023672">
        <w:rPr>
          <w:rFonts w:ascii="Arial" w:hAnsi="Arial" w:cs="Arial"/>
        </w:rPr>
        <w:t>This report is for information only.</w:t>
      </w:r>
      <w:r w:rsidRPr="00023672">
        <w:rPr>
          <w:rFonts w:ascii="Arial" w:hAnsi="Arial" w:cs="Arial"/>
        </w:rPr>
        <w:tab/>
      </w:r>
    </w:p>
    <w:p w:rsidR="00F4505A" w:rsidRDefault="00F4505A" w:rsidP="00CE1CCE">
      <w:pPr>
        <w:rPr>
          <w:rFonts w:ascii="Arial" w:hAnsi="Arial" w:cs="Arial"/>
        </w:rPr>
      </w:pPr>
    </w:p>
    <w:p w:rsidR="00001427" w:rsidRPr="00023672" w:rsidRDefault="00001427" w:rsidP="00CE1CCE">
      <w:pPr>
        <w:rPr>
          <w:rFonts w:ascii="Arial" w:hAnsi="Arial" w:cs="Arial"/>
        </w:rPr>
      </w:pPr>
    </w:p>
    <w:p w:rsidR="00F4505A" w:rsidRPr="00023672" w:rsidRDefault="00F4505A" w:rsidP="00CE1CCE">
      <w:pPr>
        <w:outlineLvl w:val="0"/>
        <w:rPr>
          <w:rFonts w:ascii="Arial" w:hAnsi="Arial" w:cs="Arial"/>
          <w:b/>
        </w:rPr>
      </w:pPr>
      <w:r w:rsidRPr="00023672">
        <w:rPr>
          <w:rFonts w:ascii="Arial" w:hAnsi="Arial" w:cs="Arial"/>
          <w:b/>
        </w:rPr>
        <w:t>5.</w:t>
      </w:r>
      <w:r w:rsidRPr="00023672">
        <w:rPr>
          <w:rFonts w:ascii="Arial" w:hAnsi="Arial" w:cs="Arial"/>
          <w:b/>
        </w:rPr>
        <w:tab/>
        <w:t>RISK ASSESSMENT OF RECOMMENDATIONS</w:t>
      </w:r>
    </w:p>
    <w:p w:rsidR="00F4505A" w:rsidRPr="00023672" w:rsidRDefault="00F4505A" w:rsidP="00CE1CCE">
      <w:pPr>
        <w:outlineLvl w:val="0"/>
        <w:rPr>
          <w:rFonts w:ascii="Arial" w:hAnsi="Arial" w:cs="Arial"/>
          <w:b/>
        </w:rPr>
      </w:pPr>
    </w:p>
    <w:p w:rsidR="00F4505A" w:rsidRPr="00023672" w:rsidRDefault="00F4505A" w:rsidP="00CE1CCE">
      <w:pPr>
        <w:outlineLvl w:val="0"/>
        <w:rPr>
          <w:rFonts w:ascii="Arial" w:hAnsi="Arial" w:cs="Arial"/>
        </w:rPr>
      </w:pPr>
      <w:r w:rsidRPr="00023672">
        <w:rPr>
          <w:rFonts w:ascii="Arial" w:hAnsi="Arial" w:cs="Arial"/>
          <w:b/>
        </w:rPr>
        <w:tab/>
      </w:r>
      <w:r w:rsidRPr="00023672">
        <w:rPr>
          <w:rFonts w:ascii="Arial" w:hAnsi="Arial" w:cs="Arial"/>
        </w:rPr>
        <w:t>There are no Medium or High risks associated with this report</w:t>
      </w:r>
    </w:p>
    <w:p w:rsidR="00F4505A" w:rsidRDefault="00F4505A" w:rsidP="00CE1CCE">
      <w:pPr>
        <w:outlineLvl w:val="0"/>
        <w:rPr>
          <w:rFonts w:ascii="Arial" w:hAnsi="Arial" w:cs="Arial"/>
          <w:b/>
        </w:rPr>
      </w:pPr>
    </w:p>
    <w:p w:rsidR="00001427" w:rsidRPr="00023672" w:rsidRDefault="00001427" w:rsidP="00CE1CCE">
      <w:pPr>
        <w:outlineLvl w:val="0"/>
        <w:rPr>
          <w:rFonts w:ascii="Arial" w:hAnsi="Arial" w:cs="Arial"/>
          <w:b/>
        </w:rPr>
      </w:pPr>
    </w:p>
    <w:p w:rsidR="00F4505A" w:rsidRPr="00023672" w:rsidRDefault="00F4505A" w:rsidP="00CE1CCE">
      <w:pPr>
        <w:outlineLvl w:val="0"/>
        <w:rPr>
          <w:rFonts w:ascii="Arial" w:hAnsi="Arial" w:cs="Arial"/>
          <w:b/>
        </w:rPr>
      </w:pPr>
      <w:r w:rsidRPr="00023672">
        <w:rPr>
          <w:rFonts w:ascii="Arial" w:hAnsi="Arial" w:cs="Arial"/>
          <w:b/>
        </w:rPr>
        <w:t>6.</w:t>
      </w:r>
      <w:r w:rsidRPr="00023672">
        <w:rPr>
          <w:rFonts w:ascii="Arial" w:hAnsi="Arial" w:cs="Arial"/>
          <w:b/>
        </w:rPr>
        <w:tab/>
        <w:t>ALIGNMENT TO COUNCIL PRIORITIES</w:t>
      </w:r>
    </w:p>
    <w:p w:rsidR="00F4505A" w:rsidRPr="00023672" w:rsidRDefault="00F4505A" w:rsidP="00F4505A">
      <w:pPr>
        <w:rPr>
          <w:rFonts w:ascii="Arial" w:hAnsi="Arial" w:cs="Arial"/>
        </w:rPr>
      </w:pPr>
    </w:p>
    <w:p w:rsidR="00F4505A" w:rsidRPr="00023672" w:rsidRDefault="00F4505A" w:rsidP="00F4505A">
      <w:pPr>
        <w:ind w:left="720" w:hanging="720"/>
        <w:rPr>
          <w:rFonts w:ascii="Arial" w:hAnsi="Arial" w:cs="Arial"/>
        </w:rPr>
      </w:pPr>
      <w:r w:rsidRPr="00023672">
        <w:rPr>
          <w:rFonts w:ascii="Arial" w:hAnsi="Arial" w:cs="Arial"/>
        </w:rPr>
        <w:t>6.1</w:t>
      </w:r>
      <w:r w:rsidRPr="00023672">
        <w:rPr>
          <w:rFonts w:ascii="Arial" w:hAnsi="Arial" w:cs="Arial"/>
        </w:rPr>
        <w:tab/>
        <w:t>This report shows the outturn in respect of the budgets approved by Council which reflected the Council’s priorities at that time.</w:t>
      </w:r>
    </w:p>
    <w:p w:rsidR="00F4505A" w:rsidRDefault="00F4505A" w:rsidP="00F4505A">
      <w:pPr>
        <w:outlineLvl w:val="0"/>
        <w:rPr>
          <w:rFonts w:ascii="Arial" w:hAnsi="Arial" w:cs="Arial"/>
          <w:b/>
        </w:rPr>
      </w:pPr>
    </w:p>
    <w:p w:rsidR="00001427" w:rsidRPr="00023672" w:rsidRDefault="00001427" w:rsidP="00F4505A">
      <w:pPr>
        <w:outlineLvl w:val="0"/>
        <w:rPr>
          <w:rFonts w:ascii="Arial" w:hAnsi="Arial" w:cs="Arial"/>
          <w:b/>
        </w:rPr>
      </w:pPr>
    </w:p>
    <w:p w:rsidR="00F4505A" w:rsidRPr="00023672" w:rsidRDefault="00F4505A" w:rsidP="00F4505A">
      <w:pPr>
        <w:outlineLvl w:val="0"/>
        <w:rPr>
          <w:rFonts w:ascii="Arial" w:hAnsi="Arial" w:cs="Arial"/>
          <w:b/>
        </w:rPr>
      </w:pPr>
      <w:r w:rsidRPr="00023672">
        <w:rPr>
          <w:rFonts w:ascii="Arial" w:hAnsi="Arial" w:cs="Arial"/>
          <w:b/>
        </w:rPr>
        <w:t>7.</w:t>
      </w:r>
      <w:r w:rsidRPr="00023672">
        <w:rPr>
          <w:rFonts w:ascii="Arial" w:hAnsi="Arial" w:cs="Arial"/>
          <w:b/>
        </w:rPr>
        <w:tab/>
        <w:t>IMPLICATIONS</w:t>
      </w:r>
    </w:p>
    <w:p w:rsidR="00F4505A" w:rsidRPr="00023672" w:rsidRDefault="00F4505A" w:rsidP="00001427">
      <w:pPr>
        <w:ind w:left="709" w:hanging="709"/>
        <w:rPr>
          <w:rFonts w:ascii="Arial" w:hAnsi="Arial" w:cs="Arial"/>
        </w:rPr>
      </w:pPr>
    </w:p>
    <w:p w:rsidR="00F4505A" w:rsidRPr="00001427" w:rsidRDefault="00F4505A" w:rsidP="00A3547D">
      <w:pPr>
        <w:pStyle w:val="ListParagraph"/>
        <w:numPr>
          <w:ilvl w:val="0"/>
          <w:numId w:val="2"/>
        </w:numPr>
        <w:ind w:left="709" w:hanging="709"/>
        <w:jc w:val="both"/>
        <w:rPr>
          <w:rFonts w:ascii="Arial" w:hAnsi="Arial" w:cs="Arial"/>
        </w:rPr>
      </w:pPr>
      <w:r w:rsidRPr="00001427">
        <w:rPr>
          <w:rFonts w:ascii="Arial" w:hAnsi="Arial" w:cs="Arial"/>
        </w:rPr>
        <w:t xml:space="preserve">Relevant Legislation: The Council has prepared the General Fund Accounts and Housing Revenue Account in accordance with the Statement of Recommended Practice and nationally approved Accounting Standards and Principles. This report indicates the outcome of these processes. </w:t>
      </w:r>
    </w:p>
    <w:p w:rsidR="00F4505A" w:rsidRPr="00023672" w:rsidRDefault="00F4505A" w:rsidP="00001427">
      <w:pPr>
        <w:ind w:left="709" w:hanging="709"/>
        <w:rPr>
          <w:rFonts w:ascii="Arial" w:hAnsi="Arial" w:cs="Arial"/>
        </w:rPr>
      </w:pPr>
    </w:p>
    <w:p w:rsidR="00F4505A" w:rsidRPr="00023672" w:rsidRDefault="00F4505A" w:rsidP="00001427">
      <w:pPr>
        <w:numPr>
          <w:ilvl w:val="0"/>
          <w:numId w:val="2"/>
        </w:numPr>
        <w:ind w:left="709" w:hanging="709"/>
        <w:rPr>
          <w:rFonts w:ascii="Arial" w:hAnsi="Arial" w:cs="Arial"/>
        </w:rPr>
      </w:pPr>
      <w:r w:rsidRPr="00023672">
        <w:rPr>
          <w:rFonts w:ascii="Arial" w:hAnsi="Arial" w:cs="Arial"/>
        </w:rPr>
        <w:t>Human Rights: No impact.</w:t>
      </w:r>
    </w:p>
    <w:p w:rsidR="00F4505A" w:rsidRPr="00023672" w:rsidRDefault="00F4505A" w:rsidP="00001427">
      <w:pPr>
        <w:ind w:left="709" w:hanging="709"/>
        <w:rPr>
          <w:rFonts w:ascii="Arial" w:hAnsi="Arial" w:cs="Arial"/>
        </w:rPr>
      </w:pPr>
    </w:p>
    <w:p w:rsidR="00F4505A" w:rsidRPr="00023672" w:rsidRDefault="00F4505A" w:rsidP="00001427">
      <w:pPr>
        <w:numPr>
          <w:ilvl w:val="0"/>
          <w:numId w:val="2"/>
        </w:numPr>
        <w:ind w:left="709" w:hanging="709"/>
        <w:rPr>
          <w:rFonts w:ascii="Arial" w:hAnsi="Arial" w:cs="Arial"/>
        </w:rPr>
      </w:pPr>
      <w:r w:rsidRPr="00023672">
        <w:rPr>
          <w:rFonts w:ascii="Arial" w:hAnsi="Arial" w:cs="Arial"/>
        </w:rPr>
        <w:t>Equality and Diversity: No impact.</w:t>
      </w:r>
    </w:p>
    <w:p w:rsidR="00F4505A" w:rsidRPr="00023672" w:rsidRDefault="00F4505A" w:rsidP="00001427">
      <w:pPr>
        <w:ind w:left="709" w:hanging="709"/>
        <w:rPr>
          <w:rFonts w:ascii="Arial" w:hAnsi="Arial" w:cs="Arial"/>
        </w:rPr>
      </w:pPr>
    </w:p>
    <w:p w:rsidR="00F4505A" w:rsidRPr="00023672" w:rsidRDefault="00F4505A" w:rsidP="00001427">
      <w:pPr>
        <w:numPr>
          <w:ilvl w:val="0"/>
          <w:numId w:val="2"/>
        </w:numPr>
        <w:ind w:left="709" w:hanging="709"/>
        <w:rPr>
          <w:rFonts w:ascii="Arial" w:hAnsi="Arial" w:cs="Arial"/>
        </w:rPr>
      </w:pPr>
      <w:r w:rsidRPr="00023672">
        <w:rPr>
          <w:rFonts w:ascii="Arial" w:hAnsi="Arial" w:cs="Arial"/>
        </w:rPr>
        <w:t>Climate change and environmental sustainability: No impact.</w:t>
      </w:r>
    </w:p>
    <w:p w:rsidR="00F4505A" w:rsidRPr="00023672" w:rsidRDefault="00F4505A" w:rsidP="00001427">
      <w:pPr>
        <w:ind w:left="709" w:hanging="709"/>
        <w:rPr>
          <w:rFonts w:ascii="Arial" w:hAnsi="Arial" w:cs="Arial"/>
        </w:rPr>
      </w:pPr>
    </w:p>
    <w:p w:rsidR="00F4505A" w:rsidRPr="00023672" w:rsidRDefault="00F4505A" w:rsidP="00001427">
      <w:pPr>
        <w:numPr>
          <w:ilvl w:val="0"/>
          <w:numId w:val="2"/>
        </w:numPr>
        <w:ind w:left="709" w:hanging="709"/>
        <w:rPr>
          <w:rFonts w:ascii="Arial" w:hAnsi="Arial" w:cs="Arial"/>
        </w:rPr>
      </w:pPr>
      <w:r w:rsidRPr="00023672">
        <w:rPr>
          <w:rFonts w:ascii="Arial" w:hAnsi="Arial" w:cs="Arial"/>
        </w:rPr>
        <w:t>Crime and Disorder: No impact.</w:t>
      </w:r>
    </w:p>
    <w:p w:rsidR="00F4505A" w:rsidRPr="00023672" w:rsidRDefault="00F4505A" w:rsidP="00001427">
      <w:pPr>
        <w:ind w:left="709" w:hanging="709"/>
        <w:rPr>
          <w:rFonts w:ascii="Arial" w:hAnsi="Arial" w:cs="Arial"/>
        </w:rPr>
      </w:pPr>
    </w:p>
    <w:p w:rsidR="00F4505A" w:rsidRPr="00023672" w:rsidRDefault="00F4505A" w:rsidP="00001427">
      <w:pPr>
        <w:numPr>
          <w:ilvl w:val="0"/>
          <w:numId w:val="2"/>
        </w:numPr>
        <w:ind w:left="709" w:hanging="709"/>
        <w:rPr>
          <w:rFonts w:ascii="Arial" w:hAnsi="Arial" w:cs="Arial"/>
        </w:rPr>
      </w:pPr>
      <w:r w:rsidRPr="00023672">
        <w:rPr>
          <w:rFonts w:ascii="Arial" w:hAnsi="Arial" w:cs="Arial"/>
        </w:rPr>
        <w:t>Budget / Resources: This report is to note the out-turn position on the General Fund Account and Housing Revenue Account.</w:t>
      </w:r>
    </w:p>
    <w:p w:rsidR="00F4505A" w:rsidRDefault="00F4505A" w:rsidP="00001427">
      <w:pPr>
        <w:ind w:left="709" w:hanging="709"/>
        <w:rPr>
          <w:rFonts w:ascii="Arial" w:hAnsi="Arial" w:cs="Arial"/>
        </w:rPr>
      </w:pPr>
    </w:p>
    <w:p w:rsidR="00001427" w:rsidRPr="00023672" w:rsidRDefault="00001427" w:rsidP="00001427">
      <w:pPr>
        <w:ind w:left="709" w:hanging="709"/>
        <w:rPr>
          <w:rFonts w:ascii="Arial" w:hAnsi="Arial" w:cs="Arial"/>
        </w:rPr>
      </w:pPr>
    </w:p>
    <w:p w:rsidR="00F4505A" w:rsidRPr="00023672" w:rsidRDefault="00F4505A" w:rsidP="00F4505A">
      <w:pPr>
        <w:outlineLvl w:val="0"/>
        <w:rPr>
          <w:rFonts w:ascii="Arial" w:hAnsi="Arial" w:cs="Arial"/>
          <w:b/>
        </w:rPr>
      </w:pPr>
      <w:r w:rsidRPr="00023672">
        <w:rPr>
          <w:rFonts w:ascii="Arial" w:hAnsi="Arial" w:cs="Arial"/>
          <w:b/>
        </w:rPr>
        <w:t>8.</w:t>
      </w:r>
      <w:r w:rsidRPr="00023672">
        <w:rPr>
          <w:rFonts w:ascii="Arial" w:hAnsi="Arial" w:cs="Arial"/>
          <w:b/>
        </w:rPr>
        <w:tab/>
        <w:t>COMMENTS OF STATUTORY OFFICERS</w:t>
      </w:r>
    </w:p>
    <w:p w:rsidR="00F4505A" w:rsidRPr="00023672" w:rsidRDefault="00F4505A" w:rsidP="00F4505A">
      <w:pPr>
        <w:ind w:left="720"/>
        <w:jc w:val="both"/>
        <w:rPr>
          <w:rFonts w:ascii="Arial" w:hAnsi="Arial" w:cs="Arial"/>
          <w:b/>
        </w:rPr>
      </w:pPr>
    </w:p>
    <w:p w:rsidR="00F4505A" w:rsidRPr="00906EDD" w:rsidRDefault="00F4505A" w:rsidP="00F4505A">
      <w:pPr>
        <w:ind w:left="720"/>
        <w:jc w:val="both"/>
        <w:rPr>
          <w:rFonts w:ascii="Arial" w:hAnsi="Arial" w:cs="Arial"/>
        </w:rPr>
      </w:pPr>
      <w:r w:rsidRPr="00906EDD">
        <w:rPr>
          <w:rFonts w:ascii="Arial" w:hAnsi="Arial" w:cs="Arial"/>
          <w:b/>
        </w:rPr>
        <w:t>Section 151 Officer</w:t>
      </w:r>
      <w:r w:rsidRPr="00906EDD">
        <w:rPr>
          <w:rFonts w:ascii="Arial" w:hAnsi="Arial" w:cs="Arial"/>
        </w:rPr>
        <w:t xml:space="preserve"> – Own report.</w:t>
      </w:r>
    </w:p>
    <w:p w:rsidR="00F4505A" w:rsidRPr="00906EDD" w:rsidRDefault="00F4505A" w:rsidP="00F4505A">
      <w:pPr>
        <w:outlineLvl w:val="0"/>
        <w:rPr>
          <w:rFonts w:ascii="Arial" w:hAnsi="Arial" w:cs="Arial"/>
        </w:rPr>
      </w:pPr>
    </w:p>
    <w:p w:rsidR="00F4505A" w:rsidRPr="00023672" w:rsidRDefault="00F4505A" w:rsidP="00F4505A">
      <w:pPr>
        <w:ind w:left="720"/>
        <w:rPr>
          <w:rFonts w:ascii="Arial" w:hAnsi="Arial" w:cs="Arial"/>
        </w:rPr>
      </w:pPr>
      <w:r w:rsidRPr="00906EDD">
        <w:rPr>
          <w:rFonts w:ascii="Arial" w:hAnsi="Arial" w:cs="Arial"/>
          <w:b/>
        </w:rPr>
        <w:t>Monitoring Officer</w:t>
      </w:r>
      <w:r w:rsidRPr="00906EDD">
        <w:rPr>
          <w:rFonts w:ascii="Arial" w:hAnsi="Arial" w:cs="Arial"/>
        </w:rPr>
        <w:t xml:space="preserve"> –</w:t>
      </w:r>
      <w:r w:rsidR="0016717D" w:rsidRPr="00906EDD">
        <w:rPr>
          <w:rFonts w:ascii="Arial" w:hAnsi="Arial" w:cs="Arial"/>
        </w:rPr>
        <w:t xml:space="preserve"> No specific comments</w:t>
      </w:r>
    </w:p>
    <w:p w:rsidR="00F4505A" w:rsidRDefault="00F4505A" w:rsidP="00F4505A">
      <w:pPr>
        <w:outlineLvl w:val="0"/>
        <w:rPr>
          <w:rFonts w:ascii="Arial" w:hAnsi="Arial" w:cs="Arial"/>
          <w:b/>
        </w:rPr>
      </w:pPr>
    </w:p>
    <w:p w:rsidR="00001427" w:rsidRPr="00023672" w:rsidRDefault="00001427" w:rsidP="00F4505A">
      <w:pPr>
        <w:outlineLvl w:val="0"/>
        <w:rPr>
          <w:rFonts w:ascii="Arial" w:hAnsi="Arial" w:cs="Arial"/>
          <w:b/>
        </w:rPr>
      </w:pPr>
    </w:p>
    <w:p w:rsidR="00F4505A" w:rsidRPr="00023672" w:rsidRDefault="00F4505A" w:rsidP="00F4505A">
      <w:pPr>
        <w:outlineLvl w:val="0"/>
        <w:rPr>
          <w:rFonts w:ascii="Arial" w:hAnsi="Arial" w:cs="Arial"/>
          <w:b/>
        </w:rPr>
      </w:pPr>
      <w:r w:rsidRPr="00023672">
        <w:rPr>
          <w:rFonts w:ascii="Arial" w:hAnsi="Arial" w:cs="Arial"/>
          <w:b/>
        </w:rPr>
        <w:t>9.</w:t>
      </w:r>
      <w:r w:rsidRPr="00023672">
        <w:rPr>
          <w:rFonts w:ascii="Arial" w:hAnsi="Arial" w:cs="Arial"/>
          <w:b/>
        </w:rPr>
        <w:tab/>
        <w:t>CONSULTATION</w:t>
      </w:r>
    </w:p>
    <w:p w:rsidR="00F4505A" w:rsidRPr="00023672" w:rsidRDefault="00F4505A" w:rsidP="00F4505A">
      <w:pPr>
        <w:outlineLvl w:val="0"/>
        <w:rPr>
          <w:rFonts w:ascii="Arial" w:hAnsi="Arial" w:cs="Arial"/>
          <w:b/>
        </w:rPr>
      </w:pPr>
    </w:p>
    <w:p w:rsidR="00F4505A" w:rsidRPr="00023672" w:rsidRDefault="00F4505A" w:rsidP="00F4505A">
      <w:pPr>
        <w:ind w:left="720" w:hanging="720"/>
        <w:outlineLvl w:val="0"/>
        <w:rPr>
          <w:rFonts w:ascii="Arial" w:hAnsi="Arial" w:cs="Arial"/>
        </w:rPr>
      </w:pPr>
      <w:r w:rsidRPr="00023672">
        <w:rPr>
          <w:rFonts w:ascii="Arial" w:hAnsi="Arial" w:cs="Arial"/>
        </w:rPr>
        <w:t>9.1</w:t>
      </w:r>
      <w:r w:rsidRPr="00023672">
        <w:rPr>
          <w:rFonts w:ascii="Arial" w:hAnsi="Arial" w:cs="Arial"/>
        </w:rPr>
        <w:tab/>
      </w:r>
      <w:r w:rsidR="00025ABD">
        <w:rPr>
          <w:rFonts w:ascii="Arial" w:hAnsi="Arial" w:cs="Arial"/>
        </w:rPr>
        <w:t>Heads of Service</w:t>
      </w:r>
      <w:r w:rsidRPr="00023672">
        <w:rPr>
          <w:rFonts w:ascii="Arial" w:hAnsi="Arial" w:cs="Arial"/>
        </w:rPr>
        <w:t xml:space="preserve"> and Service Managers have provided details and explanations for variances.</w:t>
      </w:r>
    </w:p>
    <w:p w:rsidR="00F4505A" w:rsidRPr="00023672" w:rsidRDefault="00F4505A" w:rsidP="00F4505A">
      <w:pPr>
        <w:outlineLvl w:val="0"/>
        <w:rPr>
          <w:rFonts w:ascii="Arial" w:hAnsi="Arial" w:cs="Arial"/>
          <w:b/>
        </w:rPr>
      </w:pPr>
    </w:p>
    <w:p w:rsidR="00F4505A" w:rsidRPr="00023672" w:rsidRDefault="00F4505A" w:rsidP="00F4505A">
      <w:pPr>
        <w:outlineLvl w:val="0"/>
        <w:rPr>
          <w:rFonts w:ascii="Arial" w:hAnsi="Arial" w:cs="Arial"/>
          <w:b/>
        </w:rPr>
      </w:pPr>
      <w:r w:rsidRPr="00023672">
        <w:rPr>
          <w:rFonts w:ascii="Arial" w:hAnsi="Arial" w:cs="Arial"/>
          <w:b/>
        </w:rPr>
        <w:t>10.</w:t>
      </w:r>
      <w:r w:rsidRPr="00023672">
        <w:rPr>
          <w:rFonts w:ascii="Arial" w:hAnsi="Arial" w:cs="Arial"/>
          <w:b/>
        </w:rPr>
        <w:tab/>
        <w:t>BACKGROUND PAPERS</w:t>
      </w:r>
    </w:p>
    <w:p w:rsidR="00F4505A" w:rsidRPr="00023672" w:rsidRDefault="00F4505A" w:rsidP="00F4505A">
      <w:pPr>
        <w:rPr>
          <w:rFonts w:ascii="Arial" w:hAnsi="Arial" w:cs="Arial"/>
        </w:rPr>
      </w:pPr>
    </w:p>
    <w:p w:rsidR="00F4505A" w:rsidRPr="00FE21CC" w:rsidRDefault="00F4505A" w:rsidP="00F4505A">
      <w:pPr>
        <w:rPr>
          <w:rFonts w:ascii="Arial" w:hAnsi="Arial" w:cs="Arial"/>
        </w:rPr>
      </w:pPr>
      <w:r w:rsidRPr="00023672">
        <w:rPr>
          <w:rFonts w:ascii="Arial" w:hAnsi="Arial" w:cs="Arial"/>
        </w:rPr>
        <w:tab/>
        <w:t>None</w:t>
      </w:r>
    </w:p>
    <w:p w:rsidR="00F4505A" w:rsidRPr="00FE21CC" w:rsidRDefault="00F4505A" w:rsidP="00F4505A">
      <w:pPr>
        <w:rPr>
          <w:rFonts w:ascii="Arial" w:hAnsi="Arial" w:cs="Arial"/>
        </w:rPr>
      </w:pPr>
    </w:p>
    <w:p w:rsidR="00F4505A" w:rsidRDefault="00F4505A" w:rsidP="00F4505A">
      <w:pPr>
        <w:rPr>
          <w:rFonts w:ascii="Arial" w:hAnsi="Arial" w:cs="Arial"/>
        </w:rPr>
      </w:pPr>
    </w:p>
    <w:p w:rsidR="00F4505A" w:rsidRDefault="00F4505A" w:rsidP="00F4505A">
      <w:pPr>
        <w:rPr>
          <w:rFonts w:ascii="Arial" w:hAnsi="Arial" w:cs="Arial"/>
        </w:rPr>
      </w:pPr>
    </w:p>
    <w:p w:rsidR="001412E4" w:rsidRDefault="001412E4" w:rsidP="00F4505A">
      <w:pPr>
        <w:rPr>
          <w:rFonts w:ascii="Arial" w:hAnsi="Arial" w:cs="Arial"/>
        </w:rPr>
      </w:pPr>
    </w:p>
    <w:p w:rsidR="001412E4" w:rsidRDefault="001412E4" w:rsidP="00F4505A">
      <w:pPr>
        <w:rPr>
          <w:rFonts w:ascii="Arial" w:hAnsi="Arial" w:cs="Arial"/>
        </w:rPr>
      </w:pPr>
    </w:p>
    <w:p w:rsidR="001412E4" w:rsidRDefault="001412E4" w:rsidP="00F4505A">
      <w:pPr>
        <w:rPr>
          <w:rFonts w:ascii="Arial" w:hAnsi="Arial" w:cs="Arial"/>
        </w:rPr>
      </w:pPr>
    </w:p>
    <w:p w:rsidR="001412E4" w:rsidRDefault="001412E4" w:rsidP="00F4505A">
      <w:pPr>
        <w:rPr>
          <w:rFonts w:ascii="Arial" w:hAnsi="Arial" w:cs="Arial"/>
        </w:rPr>
      </w:pPr>
    </w:p>
    <w:p w:rsidR="001412E4" w:rsidRDefault="001412E4" w:rsidP="00F4505A">
      <w:pPr>
        <w:rPr>
          <w:rFonts w:ascii="Arial" w:hAnsi="Arial" w:cs="Arial"/>
        </w:rPr>
      </w:pPr>
    </w:p>
    <w:p w:rsidR="00493BA1" w:rsidRDefault="00493BA1" w:rsidP="00F4505A">
      <w:pPr>
        <w:rPr>
          <w:rFonts w:ascii="Arial" w:hAnsi="Arial" w:cs="Arial"/>
        </w:rPr>
      </w:pPr>
    </w:p>
    <w:p w:rsidR="00493BA1" w:rsidRDefault="00493BA1" w:rsidP="00F4505A">
      <w:pPr>
        <w:rPr>
          <w:rFonts w:ascii="Arial" w:hAnsi="Arial" w:cs="Arial"/>
        </w:rPr>
      </w:pPr>
    </w:p>
    <w:p w:rsidR="001412E4" w:rsidRDefault="001412E4" w:rsidP="00F4505A">
      <w:pPr>
        <w:rPr>
          <w:rFonts w:ascii="Arial" w:hAnsi="Arial" w:cs="Arial"/>
        </w:rPr>
      </w:pPr>
    </w:p>
    <w:p w:rsidR="001412E4" w:rsidRDefault="001412E4" w:rsidP="00F4505A">
      <w:pPr>
        <w:rPr>
          <w:rFonts w:ascii="Arial" w:hAnsi="Arial" w:cs="Arial"/>
        </w:rPr>
      </w:pPr>
    </w:p>
    <w:p w:rsidR="001412E4" w:rsidRDefault="001412E4" w:rsidP="00F4505A">
      <w:pPr>
        <w:rPr>
          <w:rFonts w:ascii="Arial" w:hAnsi="Arial" w:cs="Arial"/>
        </w:rPr>
      </w:pPr>
    </w:p>
    <w:p w:rsidR="00141B77" w:rsidRDefault="00141B77" w:rsidP="00F4505A">
      <w:pPr>
        <w:rPr>
          <w:rFonts w:ascii="Arial" w:hAnsi="Arial" w:cs="Arial"/>
        </w:rPr>
      </w:pPr>
    </w:p>
    <w:p w:rsidR="00141B77" w:rsidRDefault="00141B77" w:rsidP="00F4505A">
      <w:pPr>
        <w:rPr>
          <w:rFonts w:ascii="Arial" w:hAnsi="Arial" w:cs="Arial"/>
        </w:rPr>
      </w:pPr>
    </w:p>
    <w:p w:rsidR="00141B77" w:rsidRDefault="00141B77" w:rsidP="00F4505A">
      <w:pPr>
        <w:rPr>
          <w:rFonts w:ascii="Arial" w:hAnsi="Arial" w:cs="Arial"/>
        </w:rPr>
      </w:pPr>
    </w:p>
    <w:p w:rsidR="00610398" w:rsidRDefault="00610398" w:rsidP="00F4505A">
      <w:pPr>
        <w:rPr>
          <w:rFonts w:ascii="Arial" w:hAnsi="Arial" w:cs="Arial"/>
        </w:rPr>
      </w:pPr>
    </w:p>
    <w:p w:rsidR="00610398" w:rsidRDefault="00610398" w:rsidP="00F4505A">
      <w:pPr>
        <w:rPr>
          <w:rFonts w:ascii="Arial" w:hAnsi="Arial" w:cs="Arial"/>
        </w:rPr>
      </w:pPr>
    </w:p>
    <w:p w:rsidR="00610398" w:rsidRDefault="00610398" w:rsidP="00F4505A">
      <w:pPr>
        <w:rPr>
          <w:rFonts w:ascii="Arial" w:hAnsi="Arial" w:cs="Arial"/>
        </w:rPr>
      </w:pPr>
    </w:p>
    <w:p w:rsidR="00610398" w:rsidRDefault="00610398" w:rsidP="00F4505A">
      <w:pPr>
        <w:rPr>
          <w:rFonts w:ascii="Arial" w:hAnsi="Arial" w:cs="Arial"/>
        </w:rPr>
      </w:pPr>
    </w:p>
    <w:p w:rsidR="001412E4" w:rsidRDefault="001412E4" w:rsidP="00F4505A">
      <w:pPr>
        <w:rPr>
          <w:rFonts w:ascii="Arial" w:hAnsi="Arial" w:cs="Arial"/>
        </w:rPr>
      </w:pPr>
    </w:p>
    <w:p w:rsidR="001412E4" w:rsidRDefault="001412E4" w:rsidP="00F4505A">
      <w:pPr>
        <w:rPr>
          <w:rFonts w:ascii="Arial" w:hAnsi="Arial" w:cs="Arial"/>
        </w:rPr>
      </w:pPr>
    </w:p>
    <w:p w:rsidR="005E39D1" w:rsidRPr="00FE21CC" w:rsidRDefault="005E39D1" w:rsidP="00F4505A">
      <w:pPr>
        <w:rPr>
          <w:rFonts w:ascii="Arial" w:hAnsi="Arial" w:cs="Arial"/>
        </w:rPr>
      </w:pPr>
    </w:p>
    <w:p w:rsidR="00F4505A" w:rsidRPr="00FE21CC" w:rsidRDefault="00F4505A" w:rsidP="00F4505A">
      <w:pPr>
        <w:rPr>
          <w:rFonts w:ascii="Arial" w:hAnsi="Arial" w:cs="Arial"/>
        </w:rPr>
      </w:pPr>
    </w:p>
    <w:p w:rsidR="00DB1B2F" w:rsidRDefault="00342A79">
      <w:pPr>
        <w:rPr>
          <w:rFonts w:ascii="Arial" w:hAnsi="Arial" w:cs="Arial"/>
          <w:b/>
        </w:rPr>
      </w:pPr>
      <w:r w:rsidRPr="00E50EEC">
        <w:rPr>
          <w:rFonts w:ascii="Arial" w:hAnsi="Arial" w:cs="Arial"/>
          <w:b/>
        </w:rPr>
        <w:t>A</w:t>
      </w:r>
      <w:r w:rsidR="00DB1B2F">
        <w:rPr>
          <w:rFonts w:ascii="Arial" w:hAnsi="Arial" w:cs="Arial"/>
          <w:b/>
        </w:rPr>
        <w:t>ppendix 1 – General Fund - Significant Variances</w:t>
      </w:r>
    </w:p>
    <w:p w:rsidR="00DB1B2F" w:rsidRDefault="00DB1B2F">
      <w:pPr>
        <w:rPr>
          <w:rFonts w:ascii="Arial" w:hAnsi="Arial" w:cs="Arial"/>
          <w:b/>
        </w:rPr>
      </w:pPr>
    </w:p>
    <w:p w:rsidR="00407864" w:rsidRPr="00E50EEC" w:rsidRDefault="00E50EEC">
      <w:pPr>
        <w:rPr>
          <w:rFonts w:ascii="Arial" w:hAnsi="Arial" w:cs="Arial"/>
          <w:b/>
        </w:rPr>
      </w:pPr>
      <w:r w:rsidRPr="00E50EEC">
        <w:rPr>
          <w:rFonts w:ascii="Arial" w:hAnsi="Arial" w:cs="Arial"/>
          <w:b/>
        </w:rPr>
        <w:t xml:space="preserve">General Fund </w:t>
      </w:r>
      <w:r w:rsidR="00DB1B2F">
        <w:rPr>
          <w:rFonts w:ascii="Arial" w:hAnsi="Arial" w:cs="Arial"/>
          <w:b/>
        </w:rPr>
        <w:t>- Finance</w:t>
      </w:r>
    </w:p>
    <w:p w:rsidR="00A35EE3" w:rsidRDefault="00A35EE3">
      <w:pPr>
        <w:rPr>
          <w:rFonts w:ascii="Arial" w:hAnsi="Arial" w:cs="Arial"/>
        </w:rPr>
      </w:pPr>
    </w:p>
    <w:p w:rsidR="00407864" w:rsidRDefault="00790A3F">
      <w:pPr>
        <w:rPr>
          <w:rFonts w:ascii="Arial" w:hAnsi="Arial" w:cs="Arial"/>
        </w:rPr>
      </w:pPr>
      <w:r w:rsidRPr="00790A3F">
        <w:rPr>
          <w:noProof/>
        </w:rPr>
        <w:drawing>
          <wp:inline distT="0" distB="0" distL="0" distR="0">
            <wp:extent cx="5112385" cy="2647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2385" cy="2647950"/>
                    </a:xfrm>
                    <a:prstGeom prst="rect">
                      <a:avLst/>
                    </a:prstGeom>
                    <a:noFill/>
                    <a:ln>
                      <a:noFill/>
                    </a:ln>
                  </pic:spPr>
                </pic:pic>
              </a:graphicData>
            </a:graphic>
          </wp:inline>
        </w:drawing>
      </w:r>
    </w:p>
    <w:p w:rsidR="006A6905" w:rsidRDefault="006A6905">
      <w:pPr>
        <w:rPr>
          <w:rFonts w:ascii="Arial" w:hAnsi="Arial" w:cs="Arial"/>
        </w:rPr>
      </w:pPr>
    </w:p>
    <w:p w:rsidR="00463138" w:rsidRPr="00BC7164" w:rsidRDefault="00463138" w:rsidP="00463138">
      <w:pPr>
        <w:pStyle w:val="ListParagraph"/>
        <w:numPr>
          <w:ilvl w:val="0"/>
          <w:numId w:val="4"/>
        </w:numPr>
        <w:rPr>
          <w:rFonts w:ascii="Arial" w:hAnsi="Arial" w:cs="Arial"/>
        </w:rPr>
      </w:pPr>
      <w:r w:rsidRPr="00BC7164">
        <w:rPr>
          <w:rFonts w:ascii="Arial" w:hAnsi="Arial" w:cs="Arial"/>
        </w:rPr>
        <w:t>Council Tax Collection - Hardship, Care</w:t>
      </w:r>
      <w:r>
        <w:rPr>
          <w:rFonts w:ascii="Arial" w:hAnsi="Arial" w:cs="Arial"/>
        </w:rPr>
        <w:t xml:space="preserve"> </w:t>
      </w:r>
      <w:r w:rsidRPr="00BC7164">
        <w:rPr>
          <w:rFonts w:ascii="Arial" w:hAnsi="Arial" w:cs="Arial"/>
        </w:rPr>
        <w:t>leavers Section 13A expenditure covered by reserves leaving savings in year.</w:t>
      </w:r>
      <w:r w:rsidR="003F6F79">
        <w:rPr>
          <w:rFonts w:ascii="Arial" w:hAnsi="Arial" w:cs="Arial"/>
        </w:rPr>
        <w:t xml:space="preserve"> Court fees refunded from previous years.</w:t>
      </w:r>
    </w:p>
    <w:p w:rsidR="00463138" w:rsidRDefault="00463138" w:rsidP="00463138">
      <w:pPr>
        <w:pStyle w:val="ListParagraph"/>
        <w:numPr>
          <w:ilvl w:val="0"/>
          <w:numId w:val="4"/>
        </w:numPr>
        <w:rPr>
          <w:rFonts w:ascii="Arial" w:hAnsi="Arial" w:cs="Arial"/>
        </w:rPr>
      </w:pPr>
      <w:r w:rsidRPr="00BC7164">
        <w:rPr>
          <w:rFonts w:ascii="Arial" w:hAnsi="Arial" w:cs="Arial"/>
        </w:rPr>
        <w:t>Benefits Administration – received additional grants for the year.</w:t>
      </w:r>
    </w:p>
    <w:p w:rsidR="00320E1E" w:rsidRPr="00BC7164" w:rsidRDefault="00320E1E" w:rsidP="00463138">
      <w:pPr>
        <w:pStyle w:val="ListParagraph"/>
        <w:numPr>
          <w:ilvl w:val="0"/>
          <w:numId w:val="4"/>
        </w:numPr>
        <w:rPr>
          <w:rFonts w:ascii="Arial" w:hAnsi="Arial" w:cs="Arial"/>
        </w:rPr>
      </w:pPr>
      <w:r>
        <w:rPr>
          <w:rFonts w:ascii="Arial" w:hAnsi="Arial" w:cs="Arial"/>
        </w:rPr>
        <w:t xml:space="preserve">Bad Debt Provision </w:t>
      </w:r>
      <w:r w:rsidR="001412E4">
        <w:rPr>
          <w:rFonts w:ascii="Arial" w:hAnsi="Arial" w:cs="Arial"/>
        </w:rPr>
        <w:t>–</w:t>
      </w:r>
      <w:r>
        <w:rPr>
          <w:rFonts w:ascii="Arial" w:hAnsi="Arial" w:cs="Arial"/>
        </w:rPr>
        <w:t xml:space="preserve"> </w:t>
      </w:r>
      <w:r w:rsidR="001412E4">
        <w:rPr>
          <w:rFonts w:ascii="Arial" w:hAnsi="Arial" w:cs="Arial"/>
        </w:rPr>
        <w:t>reduction in year provision.</w:t>
      </w:r>
    </w:p>
    <w:p w:rsidR="00463138" w:rsidRPr="00BC7164" w:rsidRDefault="00463138" w:rsidP="00463138">
      <w:pPr>
        <w:pStyle w:val="ListParagraph"/>
        <w:numPr>
          <w:ilvl w:val="0"/>
          <w:numId w:val="4"/>
        </w:numPr>
        <w:rPr>
          <w:rFonts w:ascii="Arial" w:hAnsi="Arial" w:cs="Arial"/>
        </w:rPr>
      </w:pPr>
      <w:r w:rsidRPr="00BC7164">
        <w:rPr>
          <w:rFonts w:ascii="Arial" w:hAnsi="Arial" w:cs="Arial"/>
        </w:rPr>
        <w:t xml:space="preserve">Financial Services - </w:t>
      </w:r>
      <w:r w:rsidR="003F6F79">
        <w:rPr>
          <w:rFonts w:ascii="Arial" w:hAnsi="Arial" w:cs="Arial"/>
        </w:rPr>
        <w:t xml:space="preserve">agency costs covering maternity </w:t>
      </w:r>
      <w:r w:rsidR="00F012C7">
        <w:rPr>
          <w:rFonts w:ascii="Arial" w:hAnsi="Arial" w:cs="Arial"/>
        </w:rPr>
        <w:t xml:space="preserve">leave </w:t>
      </w:r>
      <w:r w:rsidR="003F6F79">
        <w:rPr>
          <w:rFonts w:ascii="Arial" w:hAnsi="Arial" w:cs="Arial"/>
        </w:rPr>
        <w:t>and higher card charges than budgeted.</w:t>
      </w:r>
    </w:p>
    <w:p w:rsidR="00463138" w:rsidRPr="00BC7164" w:rsidRDefault="00463138" w:rsidP="00463138">
      <w:pPr>
        <w:pStyle w:val="ListParagraph"/>
        <w:numPr>
          <w:ilvl w:val="0"/>
          <w:numId w:val="4"/>
        </w:numPr>
        <w:rPr>
          <w:rFonts w:ascii="Arial" w:hAnsi="Arial" w:cs="Arial"/>
        </w:rPr>
      </w:pPr>
      <w:r w:rsidRPr="00BC7164">
        <w:rPr>
          <w:rFonts w:ascii="Arial" w:hAnsi="Arial" w:cs="Arial"/>
        </w:rPr>
        <w:t>Insurance premiums are lower than anticipated at budget setting following the tender process.</w:t>
      </w:r>
    </w:p>
    <w:p w:rsidR="00463138" w:rsidRDefault="00463138" w:rsidP="00463138">
      <w:pPr>
        <w:pStyle w:val="ListParagraph"/>
        <w:numPr>
          <w:ilvl w:val="0"/>
          <w:numId w:val="4"/>
        </w:numPr>
        <w:rPr>
          <w:rFonts w:ascii="Arial" w:hAnsi="Arial" w:cs="Arial"/>
        </w:rPr>
      </w:pPr>
      <w:r w:rsidRPr="000D35D6">
        <w:rPr>
          <w:rFonts w:ascii="Arial" w:hAnsi="Arial" w:cs="Arial"/>
        </w:rPr>
        <w:t xml:space="preserve">Commercial Development - increased costs include repairs &amp; maintenance, </w:t>
      </w:r>
      <w:r w:rsidRPr="007F6D3F">
        <w:rPr>
          <w:rFonts w:ascii="Arial" w:hAnsi="Arial" w:cs="Arial"/>
        </w:rPr>
        <w:t>utility costs, reduced fees and charges income due to vacant units.</w:t>
      </w:r>
    </w:p>
    <w:p w:rsidR="00320E1E" w:rsidRPr="007F6D3F" w:rsidRDefault="00320E1E" w:rsidP="00463138">
      <w:pPr>
        <w:pStyle w:val="ListParagraph"/>
        <w:numPr>
          <w:ilvl w:val="0"/>
          <w:numId w:val="4"/>
        </w:numPr>
        <w:rPr>
          <w:rFonts w:ascii="Arial" w:hAnsi="Arial" w:cs="Arial"/>
        </w:rPr>
      </w:pPr>
      <w:r>
        <w:rPr>
          <w:rFonts w:ascii="Arial" w:hAnsi="Arial" w:cs="Arial"/>
        </w:rPr>
        <w:t xml:space="preserve">Retail Development </w:t>
      </w:r>
      <w:r w:rsidR="003F6F79">
        <w:rPr>
          <w:rFonts w:ascii="Arial" w:hAnsi="Arial" w:cs="Arial"/>
        </w:rPr>
        <w:t>–</w:t>
      </w:r>
      <w:r>
        <w:rPr>
          <w:rFonts w:ascii="Arial" w:hAnsi="Arial" w:cs="Arial"/>
        </w:rPr>
        <w:t xml:space="preserve"> </w:t>
      </w:r>
      <w:r w:rsidR="003F6F79">
        <w:rPr>
          <w:rFonts w:ascii="Arial" w:hAnsi="Arial" w:cs="Arial"/>
        </w:rPr>
        <w:t>reduced NNDR paid by MDC as vacant shops have now been let.</w:t>
      </w:r>
    </w:p>
    <w:p w:rsidR="003F6F79" w:rsidRDefault="00463138" w:rsidP="003F6F79">
      <w:pPr>
        <w:pStyle w:val="ListParagraph"/>
        <w:numPr>
          <w:ilvl w:val="0"/>
          <w:numId w:val="4"/>
        </w:numPr>
        <w:rPr>
          <w:rFonts w:ascii="Arial" w:hAnsi="Arial" w:cs="Arial"/>
        </w:rPr>
      </w:pPr>
      <w:r w:rsidRPr="003F6F79">
        <w:rPr>
          <w:rFonts w:ascii="Arial" w:hAnsi="Arial" w:cs="Arial"/>
        </w:rPr>
        <w:t xml:space="preserve">Industrial Development - </w:t>
      </w:r>
      <w:r w:rsidR="003F6F79" w:rsidRPr="003F6F79">
        <w:rPr>
          <w:rFonts w:ascii="Arial" w:hAnsi="Arial" w:cs="Arial"/>
        </w:rPr>
        <w:t>Mainly due to rental income increases through rent reviews and fewer vacancies, income from de mininus land disposal Tenter Lane, and reduced spend on repairs and maintenance premises</w:t>
      </w:r>
    </w:p>
    <w:p w:rsidR="00463138" w:rsidRPr="003F6F79" w:rsidRDefault="00463138" w:rsidP="00790A3F">
      <w:pPr>
        <w:pStyle w:val="ListParagraph"/>
        <w:numPr>
          <w:ilvl w:val="0"/>
          <w:numId w:val="4"/>
        </w:numPr>
        <w:rPr>
          <w:rFonts w:ascii="Arial" w:hAnsi="Arial" w:cs="Arial"/>
        </w:rPr>
      </w:pPr>
      <w:r w:rsidRPr="003F6F79">
        <w:rPr>
          <w:rFonts w:ascii="Arial" w:hAnsi="Arial" w:cs="Arial"/>
        </w:rPr>
        <w:t xml:space="preserve">Housing benefit subsidy - </w:t>
      </w:r>
      <w:r w:rsidR="00790A3F" w:rsidRPr="00790A3F">
        <w:rPr>
          <w:rFonts w:ascii="Arial" w:hAnsi="Arial" w:cs="Arial"/>
        </w:rPr>
        <w:t>Additional claims processed in latter part of the year which incurred additional funding.</w:t>
      </w:r>
    </w:p>
    <w:p w:rsidR="00463138" w:rsidRDefault="00463138" w:rsidP="00463138">
      <w:pPr>
        <w:pStyle w:val="ListParagraph"/>
        <w:numPr>
          <w:ilvl w:val="0"/>
          <w:numId w:val="4"/>
        </w:numPr>
        <w:rPr>
          <w:rFonts w:ascii="Arial" w:hAnsi="Arial" w:cs="Arial"/>
        </w:rPr>
      </w:pPr>
      <w:r w:rsidRPr="004368D8">
        <w:rPr>
          <w:rFonts w:ascii="Arial" w:hAnsi="Arial" w:cs="Arial"/>
        </w:rPr>
        <w:t xml:space="preserve">Covid-19 </w:t>
      </w:r>
      <w:r>
        <w:rPr>
          <w:rFonts w:ascii="Arial" w:hAnsi="Arial" w:cs="Arial"/>
        </w:rPr>
        <w:t>–</w:t>
      </w:r>
      <w:r w:rsidRPr="004368D8">
        <w:rPr>
          <w:rFonts w:ascii="Arial" w:hAnsi="Arial" w:cs="Arial"/>
        </w:rPr>
        <w:t xml:space="preserve"> </w:t>
      </w:r>
      <w:r>
        <w:rPr>
          <w:rFonts w:ascii="Arial" w:hAnsi="Arial" w:cs="Arial"/>
        </w:rPr>
        <w:t>Covid related</w:t>
      </w:r>
      <w:r w:rsidRPr="004368D8">
        <w:rPr>
          <w:rFonts w:ascii="Arial" w:hAnsi="Arial" w:cs="Arial"/>
        </w:rPr>
        <w:t xml:space="preserve"> expenditure. This is covered by additional grant.</w:t>
      </w:r>
    </w:p>
    <w:p w:rsidR="00961CDF" w:rsidRDefault="00961CDF">
      <w:pPr>
        <w:rPr>
          <w:rFonts w:ascii="Arial" w:hAnsi="Arial" w:cs="Arial"/>
        </w:rPr>
      </w:pPr>
    </w:p>
    <w:p w:rsidR="00961CDF" w:rsidRDefault="00961CDF">
      <w:pPr>
        <w:rPr>
          <w:rFonts w:ascii="Arial" w:hAnsi="Arial" w:cs="Arial"/>
        </w:rPr>
      </w:pPr>
    </w:p>
    <w:p w:rsidR="00961CDF" w:rsidRDefault="00961CDF">
      <w:pPr>
        <w:rPr>
          <w:rFonts w:ascii="Arial" w:hAnsi="Arial" w:cs="Arial"/>
        </w:rPr>
      </w:pPr>
    </w:p>
    <w:p w:rsidR="001412E4" w:rsidRDefault="001412E4">
      <w:pPr>
        <w:rPr>
          <w:rFonts w:ascii="Arial" w:hAnsi="Arial" w:cs="Arial"/>
        </w:rPr>
      </w:pPr>
    </w:p>
    <w:p w:rsidR="001412E4" w:rsidRDefault="001412E4">
      <w:pPr>
        <w:rPr>
          <w:rFonts w:ascii="Arial" w:hAnsi="Arial" w:cs="Arial"/>
        </w:rPr>
      </w:pPr>
    </w:p>
    <w:p w:rsidR="001412E4" w:rsidRDefault="001412E4">
      <w:pPr>
        <w:rPr>
          <w:rFonts w:ascii="Arial" w:hAnsi="Arial" w:cs="Arial"/>
        </w:rPr>
      </w:pPr>
    </w:p>
    <w:p w:rsidR="001412E4" w:rsidRDefault="001412E4">
      <w:pPr>
        <w:rPr>
          <w:rFonts w:ascii="Arial" w:hAnsi="Arial" w:cs="Arial"/>
        </w:rPr>
      </w:pPr>
    </w:p>
    <w:p w:rsidR="001412E4" w:rsidRDefault="001412E4">
      <w:pPr>
        <w:rPr>
          <w:rFonts w:ascii="Arial" w:hAnsi="Arial" w:cs="Arial"/>
        </w:rPr>
      </w:pPr>
    </w:p>
    <w:p w:rsidR="001412E4" w:rsidRDefault="001412E4">
      <w:pPr>
        <w:rPr>
          <w:rFonts w:ascii="Arial" w:hAnsi="Arial" w:cs="Arial"/>
        </w:rPr>
      </w:pPr>
    </w:p>
    <w:p w:rsidR="000C6A2D" w:rsidRDefault="000C6A2D" w:rsidP="000B1F23">
      <w:pPr>
        <w:spacing w:after="200" w:line="276" w:lineRule="auto"/>
        <w:rPr>
          <w:rFonts w:ascii="Arial" w:hAnsi="Arial" w:cs="Arial"/>
        </w:rPr>
      </w:pPr>
    </w:p>
    <w:p w:rsidR="00565A5F" w:rsidRPr="00565A5F" w:rsidRDefault="00565A5F" w:rsidP="000B1F23">
      <w:pPr>
        <w:spacing w:after="200" w:line="276" w:lineRule="auto"/>
        <w:rPr>
          <w:rFonts w:ascii="Arial" w:hAnsi="Arial" w:cs="Arial"/>
          <w:b/>
          <w:bCs/>
          <w:color w:val="000000"/>
        </w:rPr>
      </w:pPr>
      <w:r w:rsidRPr="00565A5F">
        <w:rPr>
          <w:rFonts w:ascii="Arial" w:hAnsi="Arial" w:cs="Arial"/>
          <w:b/>
          <w:bCs/>
          <w:color w:val="000000"/>
        </w:rPr>
        <w:t xml:space="preserve">General Fund - Head of Health &amp; Communities </w:t>
      </w:r>
    </w:p>
    <w:p w:rsidR="001D070A" w:rsidRDefault="009B5B47">
      <w:r w:rsidRPr="009B5B47">
        <w:rPr>
          <w:noProof/>
        </w:rPr>
        <w:drawing>
          <wp:inline distT="0" distB="0" distL="0" distR="0">
            <wp:extent cx="5112385" cy="21704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2385" cy="2170430"/>
                    </a:xfrm>
                    <a:prstGeom prst="rect">
                      <a:avLst/>
                    </a:prstGeom>
                    <a:noFill/>
                    <a:ln>
                      <a:noFill/>
                    </a:ln>
                  </pic:spPr>
                </pic:pic>
              </a:graphicData>
            </a:graphic>
          </wp:inline>
        </w:drawing>
      </w:r>
    </w:p>
    <w:p w:rsidR="00F333A5" w:rsidRDefault="00F333A5" w:rsidP="00F333A5">
      <w:pPr>
        <w:rPr>
          <w:rFonts w:ascii="Arial" w:hAnsi="Arial" w:cs="Arial"/>
          <w:b/>
        </w:rPr>
      </w:pPr>
    </w:p>
    <w:p w:rsidR="001D070A" w:rsidRPr="00C67685" w:rsidRDefault="001D070A" w:rsidP="00F333A5">
      <w:pPr>
        <w:rPr>
          <w:rFonts w:ascii="Arial" w:hAnsi="Arial" w:cs="Arial"/>
          <w:b/>
        </w:rPr>
      </w:pPr>
    </w:p>
    <w:p w:rsidR="00F333A5" w:rsidRDefault="00F333A5" w:rsidP="00F333A5">
      <w:pPr>
        <w:pStyle w:val="ListParagraph"/>
        <w:numPr>
          <w:ilvl w:val="0"/>
          <w:numId w:val="5"/>
        </w:numPr>
        <w:rPr>
          <w:rFonts w:ascii="Arial" w:eastAsiaTheme="minorEastAsia" w:hAnsi="Arial" w:cs="Arial"/>
          <w:szCs w:val="32"/>
        </w:rPr>
      </w:pPr>
      <w:r>
        <w:rPr>
          <w:rFonts w:ascii="Arial" w:eastAsiaTheme="minorEastAsia" w:hAnsi="Arial" w:cs="Arial"/>
          <w:szCs w:val="32"/>
        </w:rPr>
        <w:t>Emergency Planning – vacancy savings.</w:t>
      </w:r>
    </w:p>
    <w:p w:rsidR="00F333A5" w:rsidRPr="00C67685" w:rsidRDefault="00D70E7D" w:rsidP="00F333A5">
      <w:pPr>
        <w:pStyle w:val="ListParagraph"/>
        <w:numPr>
          <w:ilvl w:val="0"/>
          <w:numId w:val="5"/>
        </w:numPr>
        <w:rPr>
          <w:rFonts w:ascii="Arial" w:eastAsiaTheme="minorEastAsia" w:hAnsi="Arial" w:cs="Arial"/>
          <w:b/>
          <w:szCs w:val="32"/>
        </w:rPr>
      </w:pPr>
      <w:r>
        <w:rPr>
          <w:rFonts w:ascii="Arial" w:eastAsiaTheme="minorEastAsia" w:hAnsi="Arial" w:cs="Arial"/>
          <w:szCs w:val="32"/>
        </w:rPr>
        <w:t>Palace Theatre</w:t>
      </w:r>
      <w:r w:rsidR="00F333A5" w:rsidRPr="00C67685">
        <w:rPr>
          <w:rFonts w:ascii="Arial" w:eastAsiaTheme="minorEastAsia" w:hAnsi="Arial" w:cs="Arial"/>
          <w:szCs w:val="32"/>
        </w:rPr>
        <w:t xml:space="preserve"> - closed due to Covid and </w:t>
      </w:r>
      <w:r w:rsidR="0073029E">
        <w:rPr>
          <w:rFonts w:ascii="Arial" w:eastAsiaTheme="minorEastAsia" w:hAnsi="Arial" w:cs="Arial"/>
          <w:szCs w:val="32"/>
        </w:rPr>
        <w:t xml:space="preserve">the </w:t>
      </w:r>
      <w:r w:rsidR="00F333A5" w:rsidRPr="00C67685">
        <w:rPr>
          <w:rFonts w:ascii="Arial" w:eastAsiaTheme="minorEastAsia" w:hAnsi="Arial" w:cs="Arial"/>
          <w:szCs w:val="32"/>
        </w:rPr>
        <w:t xml:space="preserve">less take up </w:t>
      </w:r>
      <w:r>
        <w:rPr>
          <w:rFonts w:ascii="Arial" w:eastAsiaTheme="minorEastAsia" w:hAnsi="Arial" w:cs="Arial"/>
          <w:szCs w:val="32"/>
        </w:rPr>
        <w:t xml:space="preserve">than </w:t>
      </w:r>
      <w:r w:rsidR="00F333A5" w:rsidRPr="00C67685">
        <w:rPr>
          <w:rFonts w:ascii="Arial" w:eastAsiaTheme="minorEastAsia" w:hAnsi="Arial" w:cs="Arial"/>
          <w:szCs w:val="32"/>
        </w:rPr>
        <w:t>estimated once opened</w:t>
      </w:r>
      <w:r>
        <w:rPr>
          <w:rFonts w:ascii="Arial" w:eastAsiaTheme="minorEastAsia" w:hAnsi="Arial" w:cs="Arial"/>
          <w:szCs w:val="32"/>
        </w:rPr>
        <w:t xml:space="preserve"> covered by the Sales, Fees and C</w:t>
      </w:r>
      <w:r w:rsidR="00F333A5">
        <w:rPr>
          <w:rFonts w:ascii="Arial" w:eastAsiaTheme="minorEastAsia" w:hAnsi="Arial" w:cs="Arial"/>
          <w:szCs w:val="32"/>
        </w:rPr>
        <w:t>harges grant</w:t>
      </w:r>
      <w:r w:rsidR="00F333A5" w:rsidRPr="00C67685">
        <w:rPr>
          <w:rFonts w:ascii="Arial" w:eastAsiaTheme="minorEastAsia" w:hAnsi="Arial" w:cs="Arial"/>
          <w:szCs w:val="32"/>
        </w:rPr>
        <w:t xml:space="preserve">. </w:t>
      </w:r>
    </w:p>
    <w:p w:rsidR="001D070A" w:rsidRPr="00E57CB6" w:rsidRDefault="009B5B47" w:rsidP="00F333A5">
      <w:pPr>
        <w:pStyle w:val="ListParagraph"/>
        <w:numPr>
          <w:ilvl w:val="0"/>
          <w:numId w:val="5"/>
        </w:numPr>
        <w:rPr>
          <w:rFonts w:ascii="Arial" w:eastAsiaTheme="minorEastAsia" w:hAnsi="Arial" w:cs="Arial"/>
          <w:b/>
          <w:szCs w:val="32"/>
        </w:rPr>
      </w:pPr>
      <w:r>
        <w:rPr>
          <w:rFonts w:ascii="Arial" w:eastAsiaTheme="minorEastAsia" w:hAnsi="Arial" w:cs="Arial"/>
          <w:szCs w:val="32"/>
        </w:rPr>
        <w:t>Museum Administration – reduction in NNDR charges, less expenditure on repairs and electricity due to closure as a result of Covid.</w:t>
      </w:r>
    </w:p>
    <w:p w:rsidR="00F333A5" w:rsidRPr="001D070A" w:rsidRDefault="00F333A5" w:rsidP="00F333A5">
      <w:pPr>
        <w:pStyle w:val="ListParagraph"/>
        <w:numPr>
          <w:ilvl w:val="0"/>
          <w:numId w:val="5"/>
        </w:numPr>
        <w:rPr>
          <w:rFonts w:ascii="Arial" w:eastAsiaTheme="minorEastAsia" w:hAnsi="Arial" w:cs="Arial"/>
          <w:b/>
          <w:szCs w:val="32"/>
        </w:rPr>
      </w:pPr>
      <w:r w:rsidRPr="00E57CB6">
        <w:rPr>
          <w:rFonts w:ascii="Arial" w:eastAsiaTheme="minorEastAsia" w:hAnsi="Arial" w:cs="Arial"/>
          <w:szCs w:val="32"/>
        </w:rPr>
        <w:t>Recreation Admin Water meadows</w:t>
      </w:r>
      <w:r>
        <w:rPr>
          <w:rFonts w:ascii="Arial" w:eastAsiaTheme="minorEastAsia" w:hAnsi="Arial" w:cs="Arial"/>
          <w:szCs w:val="32"/>
        </w:rPr>
        <w:t xml:space="preserve"> -</w:t>
      </w:r>
      <w:r w:rsidRPr="00E57CB6">
        <w:rPr>
          <w:rFonts w:ascii="Arial" w:eastAsiaTheme="minorEastAsia" w:hAnsi="Arial" w:cs="Arial"/>
          <w:szCs w:val="32"/>
        </w:rPr>
        <w:t xml:space="preserve"> le</w:t>
      </w:r>
      <w:r>
        <w:rPr>
          <w:rFonts w:ascii="Arial" w:eastAsiaTheme="minorEastAsia" w:hAnsi="Arial" w:cs="Arial"/>
          <w:szCs w:val="32"/>
        </w:rPr>
        <w:t>ss car park refunds being issued</w:t>
      </w:r>
      <w:r w:rsidRPr="00E57CB6">
        <w:rPr>
          <w:rFonts w:ascii="Arial" w:eastAsiaTheme="minorEastAsia" w:hAnsi="Arial" w:cs="Arial"/>
          <w:szCs w:val="32"/>
        </w:rPr>
        <w:t xml:space="preserve"> due to r</w:t>
      </w:r>
      <w:r>
        <w:rPr>
          <w:rFonts w:ascii="Arial" w:eastAsiaTheme="minorEastAsia" w:hAnsi="Arial" w:cs="Arial"/>
          <w:szCs w:val="32"/>
        </w:rPr>
        <w:t>eduction in use as a result of C</w:t>
      </w:r>
      <w:r w:rsidRPr="00E57CB6">
        <w:rPr>
          <w:rFonts w:ascii="Arial" w:eastAsiaTheme="minorEastAsia" w:hAnsi="Arial" w:cs="Arial"/>
          <w:szCs w:val="32"/>
        </w:rPr>
        <w:t>ovid. This is offset by a reduction in car park income.</w:t>
      </w:r>
    </w:p>
    <w:p w:rsidR="00F333A5" w:rsidRPr="001D070A" w:rsidRDefault="00F333A5" w:rsidP="00F333A5">
      <w:pPr>
        <w:pStyle w:val="ListParagraph"/>
        <w:numPr>
          <w:ilvl w:val="0"/>
          <w:numId w:val="5"/>
        </w:numPr>
        <w:rPr>
          <w:rFonts w:ascii="Arial" w:eastAsiaTheme="minorEastAsia" w:hAnsi="Arial" w:cs="Arial"/>
          <w:b/>
          <w:szCs w:val="32"/>
        </w:rPr>
      </w:pPr>
      <w:r>
        <w:rPr>
          <w:rFonts w:ascii="Arial" w:eastAsiaTheme="minorEastAsia" w:hAnsi="Arial" w:cs="Arial"/>
          <w:szCs w:val="32"/>
        </w:rPr>
        <w:t xml:space="preserve">Environmental Protection </w:t>
      </w:r>
      <w:r w:rsidR="009B5B47">
        <w:rPr>
          <w:rFonts w:ascii="Arial" w:eastAsiaTheme="minorEastAsia" w:hAnsi="Arial" w:cs="Arial"/>
          <w:szCs w:val="32"/>
        </w:rPr>
        <w:t>–</w:t>
      </w:r>
      <w:r>
        <w:rPr>
          <w:rFonts w:ascii="Arial" w:eastAsiaTheme="minorEastAsia" w:hAnsi="Arial" w:cs="Arial"/>
          <w:szCs w:val="32"/>
        </w:rPr>
        <w:t xml:space="preserve"> underspends</w:t>
      </w:r>
      <w:r w:rsidR="009B5B47">
        <w:rPr>
          <w:rFonts w:ascii="Arial" w:eastAsiaTheme="minorEastAsia" w:hAnsi="Arial" w:cs="Arial"/>
          <w:szCs w:val="32"/>
        </w:rPr>
        <w:t xml:space="preserve"> due to maternity leave and </w:t>
      </w:r>
      <w:r w:rsidR="0073029E">
        <w:rPr>
          <w:rFonts w:ascii="Arial" w:eastAsiaTheme="minorEastAsia" w:hAnsi="Arial" w:cs="Arial"/>
          <w:szCs w:val="32"/>
        </w:rPr>
        <w:t xml:space="preserve">less spend on </w:t>
      </w:r>
      <w:r w:rsidR="009B5B47">
        <w:rPr>
          <w:rFonts w:ascii="Arial" w:eastAsiaTheme="minorEastAsia" w:hAnsi="Arial" w:cs="Arial"/>
          <w:szCs w:val="32"/>
        </w:rPr>
        <w:t>supplies and services</w:t>
      </w:r>
      <w:r>
        <w:rPr>
          <w:rFonts w:ascii="Arial" w:eastAsiaTheme="minorEastAsia" w:hAnsi="Arial" w:cs="Arial"/>
          <w:szCs w:val="32"/>
        </w:rPr>
        <w:t>.</w:t>
      </w:r>
    </w:p>
    <w:p w:rsidR="00F333A5" w:rsidRPr="00E57CB6" w:rsidRDefault="00F333A5" w:rsidP="00F333A5">
      <w:pPr>
        <w:pStyle w:val="ListParagraph"/>
        <w:numPr>
          <w:ilvl w:val="0"/>
          <w:numId w:val="5"/>
        </w:numPr>
        <w:rPr>
          <w:rFonts w:ascii="Arial" w:eastAsiaTheme="minorEastAsia" w:hAnsi="Arial" w:cs="Arial"/>
          <w:b/>
          <w:szCs w:val="32"/>
        </w:rPr>
      </w:pPr>
      <w:r w:rsidRPr="00E57CB6">
        <w:rPr>
          <w:rFonts w:ascii="Arial" w:eastAsiaTheme="minorEastAsia" w:hAnsi="Arial" w:cs="Arial"/>
          <w:szCs w:val="32"/>
        </w:rPr>
        <w:t xml:space="preserve">ASB </w:t>
      </w:r>
      <w:r>
        <w:rPr>
          <w:rFonts w:ascii="Arial" w:eastAsiaTheme="minorEastAsia" w:hAnsi="Arial" w:cs="Arial"/>
          <w:szCs w:val="32"/>
        </w:rPr>
        <w:t>-</w:t>
      </w:r>
      <w:r w:rsidRPr="00E57CB6">
        <w:rPr>
          <w:rFonts w:ascii="Arial" w:eastAsiaTheme="minorEastAsia" w:hAnsi="Arial" w:cs="Arial"/>
          <w:szCs w:val="32"/>
        </w:rPr>
        <w:t xml:space="preserve"> vacancy underspends.</w:t>
      </w:r>
    </w:p>
    <w:p w:rsidR="00F333A5" w:rsidRPr="001D070A" w:rsidRDefault="00F333A5" w:rsidP="001D070A">
      <w:pPr>
        <w:pStyle w:val="ListParagraph"/>
        <w:numPr>
          <w:ilvl w:val="0"/>
          <w:numId w:val="5"/>
        </w:numPr>
        <w:rPr>
          <w:rFonts w:ascii="Arial" w:eastAsiaTheme="minorEastAsia" w:hAnsi="Arial" w:cs="Arial"/>
          <w:b/>
          <w:szCs w:val="32"/>
        </w:rPr>
      </w:pPr>
      <w:r w:rsidRPr="00C67685">
        <w:rPr>
          <w:rFonts w:ascii="Arial" w:eastAsiaTheme="minorEastAsia" w:hAnsi="Arial" w:cs="Arial"/>
          <w:szCs w:val="32"/>
        </w:rPr>
        <w:t>Neighbourhood Wardens - vacancy savings,</w:t>
      </w:r>
      <w:r>
        <w:rPr>
          <w:rFonts w:ascii="Arial" w:eastAsiaTheme="minorEastAsia" w:hAnsi="Arial" w:cs="Arial"/>
          <w:szCs w:val="32"/>
        </w:rPr>
        <w:t xml:space="preserve"> restructure approved December 2021</w:t>
      </w:r>
      <w:r w:rsidRPr="00C67685">
        <w:rPr>
          <w:rFonts w:ascii="Arial" w:eastAsiaTheme="minorEastAsia" w:hAnsi="Arial" w:cs="Arial"/>
          <w:szCs w:val="32"/>
        </w:rPr>
        <w:t>.</w:t>
      </w:r>
    </w:p>
    <w:p w:rsidR="00E50EEC" w:rsidRDefault="00E50EEC">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Default="00F012C7">
      <w:pPr>
        <w:spacing w:after="200" w:line="276" w:lineRule="auto"/>
        <w:rPr>
          <w:rFonts w:ascii="Arial" w:hAnsi="Arial" w:cs="Arial"/>
          <w:b/>
          <w:bCs/>
          <w:color w:val="000000"/>
        </w:rPr>
      </w:pPr>
    </w:p>
    <w:p w:rsidR="00F012C7" w:rsidRPr="0016419E" w:rsidRDefault="00F012C7">
      <w:pPr>
        <w:spacing w:after="200" w:line="276" w:lineRule="auto"/>
        <w:rPr>
          <w:rFonts w:ascii="Arial" w:hAnsi="Arial" w:cs="Arial"/>
          <w:b/>
          <w:bCs/>
          <w:color w:val="000000"/>
        </w:rPr>
      </w:pPr>
    </w:p>
    <w:p w:rsidR="006F1B0F" w:rsidRPr="006F1B0F" w:rsidRDefault="006F1B0F" w:rsidP="0016419E">
      <w:pPr>
        <w:spacing w:after="200" w:line="276" w:lineRule="auto"/>
        <w:rPr>
          <w:rFonts w:ascii="Arial" w:hAnsi="Arial" w:cs="Arial"/>
          <w:b/>
          <w:bCs/>
          <w:color w:val="000000"/>
        </w:rPr>
      </w:pPr>
      <w:r w:rsidRPr="006F1B0F">
        <w:rPr>
          <w:rFonts w:ascii="Arial" w:hAnsi="Arial" w:cs="Arial"/>
          <w:b/>
          <w:bCs/>
          <w:color w:val="000000"/>
        </w:rPr>
        <w:t>General Fund - Head of Neighbourhood Services</w:t>
      </w:r>
    </w:p>
    <w:p w:rsidR="00181E13" w:rsidRDefault="001412E4" w:rsidP="00181E13">
      <w:pPr>
        <w:rPr>
          <w:rFonts w:ascii="Arial" w:hAnsi="Arial" w:cs="Arial"/>
          <w:b/>
        </w:rPr>
      </w:pPr>
      <w:r w:rsidRPr="001412E4">
        <w:rPr>
          <w:noProof/>
        </w:rPr>
        <w:drawing>
          <wp:inline distT="0" distB="0" distL="0" distR="0">
            <wp:extent cx="3890096" cy="337135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8539" cy="3378670"/>
                    </a:xfrm>
                    <a:prstGeom prst="rect">
                      <a:avLst/>
                    </a:prstGeom>
                    <a:noFill/>
                    <a:ln>
                      <a:noFill/>
                    </a:ln>
                  </pic:spPr>
                </pic:pic>
              </a:graphicData>
            </a:graphic>
          </wp:inline>
        </w:drawing>
      </w:r>
    </w:p>
    <w:p w:rsidR="001D070A" w:rsidRDefault="001D070A" w:rsidP="00181E13">
      <w:pPr>
        <w:rPr>
          <w:rFonts w:ascii="Arial" w:hAnsi="Arial" w:cs="Arial"/>
          <w:b/>
        </w:rPr>
      </w:pPr>
    </w:p>
    <w:p w:rsidR="001D070A" w:rsidRDefault="001D070A" w:rsidP="001D070A">
      <w:pPr>
        <w:pStyle w:val="ListParagraph"/>
        <w:numPr>
          <w:ilvl w:val="0"/>
          <w:numId w:val="5"/>
        </w:numPr>
        <w:rPr>
          <w:rFonts w:ascii="Arial" w:eastAsiaTheme="minorEastAsia" w:hAnsi="Arial" w:cs="Arial"/>
          <w:szCs w:val="32"/>
        </w:rPr>
      </w:pPr>
      <w:r>
        <w:rPr>
          <w:rFonts w:ascii="Arial" w:eastAsiaTheme="minorEastAsia" w:hAnsi="Arial" w:cs="Arial"/>
          <w:szCs w:val="32"/>
        </w:rPr>
        <w:t>Fleet Administration –</w:t>
      </w:r>
      <w:r w:rsidR="009B5B47">
        <w:rPr>
          <w:rFonts w:ascii="Arial" w:eastAsiaTheme="minorEastAsia" w:hAnsi="Arial" w:cs="Arial"/>
          <w:szCs w:val="32"/>
        </w:rPr>
        <w:t xml:space="preserve"> In</w:t>
      </w:r>
      <w:r w:rsidR="00F012C7">
        <w:rPr>
          <w:rFonts w:ascii="Arial" w:eastAsiaTheme="minorEastAsia" w:hAnsi="Arial" w:cs="Arial"/>
          <w:szCs w:val="32"/>
        </w:rPr>
        <w:t>creased in</w:t>
      </w:r>
      <w:r w:rsidR="009B5B47">
        <w:rPr>
          <w:rFonts w:ascii="Arial" w:eastAsiaTheme="minorEastAsia" w:hAnsi="Arial" w:cs="Arial"/>
          <w:szCs w:val="32"/>
        </w:rPr>
        <w:t>come from fleet sales</w:t>
      </w:r>
      <w:r w:rsidR="00F012C7">
        <w:rPr>
          <w:rFonts w:ascii="Arial" w:eastAsiaTheme="minorEastAsia" w:hAnsi="Arial" w:cs="Arial"/>
          <w:szCs w:val="32"/>
        </w:rPr>
        <w:t xml:space="preserve"> compared to budget</w:t>
      </w:r>
      <w:r w:rsidR="009B5B47">
        <w:rPr>
          <w:rFonts w:ascii="Arial" w:eastAsiaTheme="minorEastAsia" w:hAnsi="Arial" w:cs="Arial"/>
          <w:szCs w:val="32"/>
        </w:rPr>
        <w:t>.</w:t>
      </w:r>
    </w:p>
    <w:p w:rsidR="001D070A" w:rsidRPr="005F427B" w:rsidRDefault="001D070A" w:rsidP="001D070A">
      <w:pPr>
        <w:pStyle w:val="ListParagraph"/>
        <w:numPr>
          <w:ilvl w:val="0"/>
          <w:numId w:val="5"/>
        </w:numPr>
        <w:rPr>
          <w:rFonts w:ascii="Arial" w:eastAsiaTheme="minorEastAsia" w:hAnsi="Arial" w:cs="Arial"/>
          <w:szCs w:val="32"/>
        </w:rPr>
      </w:pPr>
      <w:r>
        <w:rPr>
          <w:rFonts w:ascii="Arial" w:eastAsiaTheme="minorEastAsia" w:hAnsi="Arial" w:cs="Arial"/>
          <w:szCs w:val="32"/>
        </w:rPr>
        <w:t>Hermitage Lane Depot –</w:t>
      </w:r>
      <w:r w:rsidR="009B5B47">
        <w:rPr>
          <w:rFonts w:ascii="Arial" w:eastAsiaTheme="minorEastAsia" w:hAnsi="Arial" w:cs="Arial"/>
          <w:szCs w:val="32"/>
        </w:rPr>
        <w:t xml:space="preserve"> Increased charges for utilities and hire of a tele </w:t>
      </w:r>
      <w:r w:rsidR="009B5B47" w:rsidRPr="005F427B">
        <w:rPr>
          <w:rFonts w:ascii="Arial" w:eastAsiaTheme="minorEastAsia" w:hAnsi="Arial" w:cs="Arial"/>
          <w:szCs w:val="32"/>
        </w:rPr>
        <w:t>handler.</w:t>
      </w:r>
    </w:p>
    <w:p w:rsidR="001D070A" w:rsidRPr="005F427B" w:rsidRDefault="001D070A" w:rsidP="009B5B47">
      <w:pPr>
        <w:pStyle w:val="ListParagraph"/>
        <w:numPr>
          <w:ilvl w:val="0"/>
          <w:numId w:val="5"/>
        </w:numPr>
        <w:rPr>
          <w:rFonts w:ascii="Arial" w:eastAsiaTheme="minorEastAsia" w:hAnsi="Arial" w:cs="Arial"/>
          <w:szCs w:val="32"/>
        </w:rPr>
      </w:pPr>
      <w:r w:rsidRPr="005F427B">
        <w:rPr>
          <w:rFonts w:ascii="Arial" w:eastAsiaTheme="minorEastAsia" w:hAnsi="Arial" w:cs="Arial"/>
          <w:szCs w:val="32"/>
        </w:rPr>
        <w:t xml:space="preserve">Town Centre Operations – </w:t>
      </w:r>
      <w:r w:rsidR="009B5B47" w:rsidRPr="005F427B">
        <w:rPr>
          <w:rFonts w:ascii="Arial" w:eastAsiaTheme="minorEastAsia" w:hAnsi="Arial" w:cs="Arial"/>
          <w:szCs w:val="32"/>
        </w:rPr>
        <w:t>NNDR for Town Hall not included in budget and additional staff member not in manpower budget.</w:t>
      </w:r>
    </w:p>
    <w:p w:rsidR="001D070A" w:rsidRDefault="001D070A" w:rsidP="001D070A">
      <w:pPr>
        <w:pStyle w:val="ListParagraph"/>
        <w:numPr>
          <w:ilvl w:val="0"/>
          <w:numId w:val="5"/>
        </w:numPr>
        <w:rPr>
          <w:rFonts w:ascii="Arial" w:eastAsiaTheme="minorEastAsia" w:hAnsi="Arial" w:cs="Arial"/>
          <w:szCs w:val="32"/>
        </w:rPr>
      </w:pPr>
      <w:r>
        <w:rPr>
          <w:rFonts w:ascii="Arial" w:eastAsiaTheme="minorEastAsia" w:hAnsi="Arial" w:cs="Arial"/>
          <w:szCs w:val="32"/>
        </w:rPr>
        <w:t>Depot Sump Maintenance –</w:t>
      </w:r>
      <w:r w:rsidR="009B5B47">
        <w:rPr>
          <w:rFonts w:ascii="Arial" w:eastAsiaTheme="minorEastAsia" w:hAnsi="Arial" w:cs="Arial"/>
          <w:szCs w:val="32"/>
        </w:rPr>
        <w:t xml:space="preserve"> Maintenance and tipping charges lower than anticipated. </w:t>
      </w:r>
    </w:p>
    <w:p w:rsidR="001D070A" w:rsidRDefault="001D070A" w:rsidP="001D070A">
      <w:pPr>
        <w:pStyle w:val="ListParagraph"/>
        <w:numPr>
          <w:ilvl w:val="0"/>
          <w:numId w:val="5"/>
        </w:numPr>
        <w:rPr>
          <w:rFonts w:ascii="Arial" w:eastAsiaTheme="minorEastAsia" w:hAnsi="Arial" w:cs="Arial"/>
          <w:szCs w:val="32"/>
        </w:rPr>
      </w:pPr>
      <w:r>
        <w:rPr>
          <w:rFonts w:ascii="Arial" w:eastAsiaTheme="minorEastAsia" w:hAnsi="Arial" w:cs="Arial"/>
          <w:szCs w:val="32"/>
        </w:rPr>
        <w:t>HL Depot Stock –</w:t>
      </w:r>
      <w:r w:rsidR="009B5B47">
        <w:rPr>
          <w:rFonts w:ascii="Arial" w:eastAsiaTheme="minorEastAsia" w:hAnsi="Arial" w:cs="Arial"/>
          <w:szCs w:val="32"/>
        </w:rPr>
        <w:t xml:space="preserve"> Increased fuel charges.</w:t>
      </w:r>
    </w:p>
    <w:p w:rsidR="001D070A" w:rsidRPr="0010468A" w:rsidRDefault="001D070A" w:rsidP="001D070A">
      <w:pPr>
        <w:pStyle w:val="ListParagraph"/>
        <w:numPr>
          <w:ilvl w:val="0"/>
          <w:numId w:val="5"/>
        </w:numPr>
        <w:rPr>
          <w:rFonts w:ascii="Arial" w:eastAsiaTheme="minorEastAsia" w:hAnsi="Arial" w:cs="Arial"/>
          <w:szCs w:val="32"/>
        </w:rPr>
      </w:pPr>
      <w:r w:rsidRPr="0010468A">
        <w:rPr>
          <w:rFonts w:ascii="Arial" w:eastAsiaTheme="minorEastAsia" w:hAnsi="Arial" w:cs="Arial"/>
          <w:szCs w:val="32"/>
        </w:rPr>
        <w:t>Parks - vacancy savings.</w:t>
      </w:r>
    </w:p>
    <w:p w:rsidR="001D070A" w:rsidRPr="0010468A" w:rsidRDefault="001D070A" w:rsidP="001D070A">
      <w:pPr>
        <w:pStyle w:val="ListParagraph"/>
        <w:numPr>
          <w:ilvl w:val="0"/>
          <w:numId w:val="5"/>
        </w:numPr>
        <w:rPr>
          <w:rFonts w:ascii="Arial" w:eastAsiaTheme="minorEastAsia" w:hAnsi="Arial" w:cs="Arial"/>
          <w:szCs w:val="32"/>
        </w:rPr>
      </w:pPr>
      <w:r w:rsidRPr="0010468A">
        <w:rPr>
          <w:rFonts w:ascii="Arial" w:eastAsiaTheme="minorEastAsia" w:hAnsi="Arial" w:cs="Arial"/>
          <w:szCs w:val="32"/>
        </w:rPr>
        <w:t>Cemeteries – Income for sales of grave spaces and monuments is higher than original budget estimates. The pandemic has impacted on this service area and levels of demand.</w:t>
      </w:r>
    </w:p>
    <w:p w:rsidR="001D070A" w:rsidRPr="00906EDD" w:rsidRDefault="001D070A" w:rsidP="001D070A">
      <w:pPr>
        <w:pStyle w:val="ListParagraph"/>
        <w:numPr>
          <w:ilvl w:val="0"/>
          <w:numId w:val="5"/>
        </w:numPr>
        <w:rPr>
          <w:rFonts w:ascii="Arial" w:eastAsiaTheme="minorEastAsia" w:hAnsi="Arial" w:cs="Arial"/>
          <w:szCs w:val="32"/>
        </w:rPr>
      </w:pPr>
      <w:r w:rsidRPr="0010468A">
        <w:rPr>
          <w:rFonts w:ascii="Arial" w:eastAsiaTheme="minorEastAsia" w:hAnsi="Arial" w:cs="Arial"/>
          <w:szCs w:val="32"/>
        </w:rPr>
        <w:t xml:space="preserve">Burial of the Destitute - There are fewer public health funerals in 2021/22 than in previous years. This is a very </w:t>
      </w:r>
      <w:r w:rsidRPr="00906EDD">
        <w:rPr>
          <w:rFonts w:ascii="Arial" w:eastAsiaTheme="minorEastAsia" w:hAnsi="Arial" w:cs="Arial"/>
          <w:szCs w:val="32"/>
        </w:rPr>
        <w:t>ad</w:t>
      </w:r>
      <w:r w:rsidR="00F012C7">
        <w:rPr>
          <w:rFonts w:ascii="Arial" w:eastAsiaTheme="minorEastAsia" w:hAnsi="Arial" w:cs="Arial"/>
          <w:szCs w:val="32"/>
        </w:rPr>
        <w:t>-</w:t>
      </w:r>
      <w:r w:rsidRPr="00906EDD">
        <w:rPr>
          <w:rFonts w:ascii="Arial" w:eastAsiaTheme="minorEastAsia" w:hAnsi="Arial" w:cs="Arial"/>
          <w:szCs w:val="32"/>
        </w:rPr>
        <w:t>hoc service for those who have no family or funds to pay for funeral expenses.</w:t>
      </w:r>
    </w:p>
    <w:p w:rsidR="00906EDD" w:rsidRPr="00906EDD" w:rsidRDefault="001D070A" w:rsidP="00906EDD">
      <w:pPr>
        <w:pStyle w:val="ListParagraph"/>
        <w:numPr>
          <w:ilvl w:val="0"/>
          <w:numId w:val="5"/>
        </w:numPr>
        <w:rPr>
          <w:rFonts w:ascii="Arial" w:eastAsiaTheme="minorEastAsia" w:hAnsi="Arial" w:cs="Arial"/>
          <w:szCs w:val="32"/>
        </w:rPr>
      </w:pPr>
      <w:r w:rsidRPr="00906EDD">
        <w:rPr>
          <w:rFonts w:ascii="Arial" w:eastAsiaTheme="minorEastAsia" w:hAnsi="Arial" w:cs="Arial"/>
          <w:szCs w:val="32"/>
        </w:rPr>
        <w:t>Crematorium –</w:t>
      </w:r>
      <w:r w:rsidR="007865C9" w:rsidRPr="00906EDD">
        <w:rPr>
          <w:rFonts w:ascii="Arial" w:eastAsiaTheme="minorEastAsia" w:hAnsi="Arial" w:cs="Arial"/>
          <w:szCs w:val="32"/>
        </w:rPr>
        <w:t xml:space="preserve"> </w:t>
      </w:r>
      <w:r w:rsidR="00906EDD" w:rsidRPr="00906EDD">
        <w:rPr>
          <w:rFonts w:ascii="Arial" w:eastAsiaTheme="minorEastAsia" w:hAnsi="Arial" w:cs="Arial"/>
          <w:szCs w:val="32"/>
        </w:rPr>
        <w:t>reduced cremations</w:t>
      </w:r>
      <w:r w:rsidR="00F012C7">
        <w:rPr>
          <w:rFonts w:ascii="Arial" w:eastAsiaTheme="minorEastAsia" w:hAnsi="Arial" w:cs="Arial"/>
          <w:szCs w:val="32"/>
        </w:rPr>
        <w:t xml:space="preserve"> compared to budget.</w:t>
      </w:r>
    </w:p>
    <w:p w:rsidR="007865C9" w:rsidRPr="002B0D55" w:rsidRDefault="001D070A" w:rsidP="007865C9">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 xml:space="preserve">Street Lighting – </w:t>
      </w:r>
      <w:r w:rsidR="007865C9" w:rsidRPr="002B0D55">
        <w:rPr>
          <w:rFonts w:ascii="Arial" w:eastAsiaTheme="minorEastAsia" w:hAnsi="Arial" w:cs="Arial"/>
          <w:szCs w:val="32"/>
        </w:rPr>
        <w:t>Underspend on electricity and purchases of materials.</w:t>
      </w:r>
    </w:p>
    <w:p w:rsidR="001D070A" w:rsidRPr="002B0D55" w:rsidRDefault="001D070A" w:rsidP="001D070A">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Refuse Collection Domestic – increased agency and vehicle hire due to Covid. Also overspending on bin replacements due to them coming to the end of life.</w:t>
      </w:r>
    </w:p>
    <w:p w:rsidR="001D070A" w:rsidRPr="00CB7325" w:rsidRDefault="001D070A" w:rsidP="001D070A">
      <w:pPr>
        <w:pStyle w:val="ListParagraph"/>
        <w:numPr>
          <w:ilvl w:val="0"/>
          <w:numId w:val="5"/>
        </w:numPr>
        <w:rPr>
          <w:rFonts w:ascii="Arial" w:eastAsiaTheme="minorEastAsia" w:hAnsi="Arial" w:cs="Arial"/>
          <w:szCs w:val="32"/>
        </w:rPr>
      </w:pPr>
      <w:r w:rsidRPr="00CB7325">
        <w:rPr>
          <w:rFonts w:ascii="Arial" w:eastAsiaTheme="minorEastAsia" w:hAnsi="Arial" w:cs="Arial"/>
          <w:szCs w:val="32"/>
        </w:rPr>
        <w:t>Refuse Collect</w:t>
      </w:r>
      <w:r w:rsidR="00F012C7">
        <w:rPr>
          <w:rFonts w:ascii="Arial" w:eastAsiaTheme="minorEastAsia" w:hAnsi="Arial" w:cs="Arial"/>
          <w:szCs w:val="32"/>
        </w:rPr>
        <w:t xml:space="preserve">ion Glass - Income higher than budget </w:t>
      </w:r>
      <w:r w:rsidRPr="00CB7325">
        <w:rPr>
          <w:rFonts w:ascii="Arial" w:eastAsiaTheme="minorEastAsia" w:hAnsi="Arial" w:cs="Arial"/>
          <w:szCs w:val="32"/>
        </w:rPr>
        <w:t>as collection levels higher than anticipated for first year of operation.</w:t>
      </w:r>
    </w:p>
    <w:p w:rsidR="001D070A" w:rsidRDefault="001D070A" w:rsidP="001D070A">
      <w:pPr>
        <w:pStyle w:val="ListParagraph"/>
        <w:numPr>
          <w:ilvl w:val="0"/>
          <w:numId w:val="5"/>
        </w:numPr>
        <w:rPr>
          <w:rFonts w:ascii="Arial" w:eastAsiaTheme="minorEastAsia" w:hAnsi="Arial" w:cs="Arial"/>
          <w:szCs w:val="32"/>
        </w:rPr>
      </w:pPr>
      <w:r>
        <w:rPr>
          <w:rFonts w:ascii="Arial" w:eastAsiaTheme="minorEastAsia" w:hAnsi="Arial" w:cs="Arial"/>
          <w:szCs w:val="32"/>
        </w:rPr>
        <w:t>Refuse Trade Waste –</w:t>
      </w:r>
      <w:r w:rsidR="007865C9">
        <w:rPr>
          <w:rFonts w:ascii="Arial" w:eastAsiaTheme="minorEastAsia" w:hAnsi="Arial" w:cs="Arial"/>
          <w:szCs w:val="32"/>
        </w:rPr>
        <w:t xml:space="preserve"> Higher than anticipated income from Trade waste.</w:t>
      </w:r>
    </w:p>
    <w:p w:rsidR="001D070A" w:rsidRPr="002B0D55" w:rsidRDefault="001D070A" w:rsidP="001D070A">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 xml:space="preserve">Refuse Garden Waste – </w:t>
      </w:r>
      <w:r w:rsidR="0073029E">
        <w:rPr>
          <w:rFonts w:ascii="Arial" w:eastAsiaTheme="minorEastAsia" w:hAnsi="Arial" w:cs="Arial"/>
          <w:szCs w:val="32"/>
        </w:rPr>
        <w:t>actual income received was lower than anticipated at budget-setting.</w:t>
      </w:r>
    </w:p>
    <w:p w:rsidR="001D070A" w:rsidRPr="002B0D55" w:rsidRDefault="001D070A" w:rsidP="001D070A">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 xml:space="preserve">Refuse Waste Transfer Station </w:t>
      </w:r>
      <w:r w:rsidR="007865C9" w:rsidRPr="002B0D55">
        <w:rPr>
          <w:rFonts w:ascii="Arial" w:eastAsiaTheme="minorEastAsia" w:hAnsi="Arial" w:cs="Arial"/>
          <w:szCs w:val="32"/>
        </w:rPr>
        <w:t>– Increased use leading to increased income.</w:t>
      </w:r>
    </w:p>
    <w:p w:rsidR="001D070A" w:rsidRPr="002B0D55" w:rsidRDefault="001D070A" w:rsidP="001412E4">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Street cleansing - vacancy savings.</w:t>
      </w:r>
    </w:p>
    <w:p w:rsidR="00F418DE" w:rsidRPr="002B0D55" w:rsidRDefault="001D070A" w:rsidP="00F418DE">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 xml:space="preserve">Markets Operations - lower income due to Covid. </w:t>
      </w:r>
    </w:p>
    <w:p w:rsidR="007865C9" w:rsidRPr="002B0D55" w:rsidRDefault="007865C9" w:rsidP="00F418DE">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Town Centre Management Robin hood line -</w:t>
      </w:r>
      <w:r w:rsidR="002B0D55" w:rsidRPr="002B0D55">
        <w:rPr>
          <w:rFonts w:ascii="Arial" w:eastAsiaTheme="minorEastAsia" w:hAnsi="Arial" w:cs="Arial"/>
          <w:szCs w:val="32"/>
        </w:rPr>
        <w:t xml:space="preserve"> no budget set for Electricity charges, and historical income budget for fees and charges still included but no income received.</w:t>
      </w:r>
    </w:p>
    <w:p w:rsidR="001D070A" w:rsidRDefault="001D070A" w:rsidP="001D070A">
      <w:pPr>
        <w:pStyle w:val="ListParagraph"/>
        <w:numPr>
          <w:ilvl w:val="0"/>
          <w:numId w:val="5"/>
        </w:numPr>
        <w:rPr>
          <w:rFonts w:ascii="Arial" w:eastAsiaTheme="minorEastAsia" w:hAnsi="Arial" w:cs="Arial"/>
          <w:szCs w:val="32"/>
        </w:rPr>
      </w:pPr>
      <w:r w:rsidRPr="002B0D55">
        <w:rPr>
          <w:rFonts w:ascii="Arial" w:eastAsiaTheme="minorEastAsia" w:hAnsi="Arial" w:cs="Arial"/>
          <w:szCs w:val="32"/>
        </w:rPr>
        <w:t>C</w:t>
      </w:r>
      <w:r w:rsidR="00F012C7">
        <w:rPr>
          <w:rFonts w:ascii="Arial" w:eastAsiaTheme="minorEastAsia" w:hAnsi="Arial" w:cs="Arial"/>
          <w:szCs w:val="32"/>
        </w:rPr>
        <w:t xml:space="preserve">ar parks </w:t>
      </w:r>
      <w:r w:rsidRPr="002B0D55">
        <w:rPr>
          <w:rFonts w:ascii="Arial" w:eastAsiaTheme="minorEastAsia" w:hAnsi="Arial" w:cs="Arial"/>
          <w:szCs w:val="32"/>
        </w:rPr>
        <w:t>- loss of income due to Covid restrictions and reduced footfall in the town centre, this</w:t>
      </w:r>
      <w:r w:rsidR="00F012C7">
        <w:rPr>
          <w:rFonts w:ascii="Arial" w:eastAsiaTheme="minorEastAsia" w:hAnsi="Arial" w:cs="Arial"/>
          <w:szCs w:val="32"/>
        </w:rPr>
        <w:t xml:space="preserve"> will be offset against Sales, Fees and C</w:t>
      </w:r>
      <w:r w:rsidRPr="002B0D55">
        <w:rPr>
          <w:rFonts w:ascii="Arial" w:eastAsiaTheme="minorEastAsia" w:hAnsi="Arial" w:cs="Arial"/>
          <w:szCs w:val="32"/>
        </w:rPr>
        <w:t>harges grant</w:t>
      </w:r>
      <w:r>
        <w:rPr>
          <w:rFonts w:ascii="Arial" w:eastAsiaTheme="minorEastAsia" w:hAnsi="Arial" w:cs="Arial"/>
          <w:szCs w:val="32"/>
        </w:rPr>
        <w:t>.</w:t>
      </w:r>
    </w:p>
    <w:p w:rsidR="001D070A" w:rsidRDefault="001D070A" w:rsidP="00181E13">
      <w:pPr>
        <w:rPr>
          <w:rFonts w:ascii="Arial" w:hAnsi="Arial" w:cs="Arial"/>
          <w:b/>
        </w:rPr>
      </w:pPr>
    </w:p>
    <w:p w:rsidR="006F1B0F" w:rsidRPr="00E50EEC" w:rsidRDefault="006F1B0F" w:rsidP="00181E13">
      <w:pPr>
        <w:rPr>
          <w:rFonts w:ascii="Arial" w:hAnsi="Arial" w:cs="Arial"/>
          <w:b/>
        </w:rPr>
      </w:pPr>
    </w:p>
    <w:p w:rsidR="006F1B0F" w:rsidRPr="0016419E" w:rsidRDefault="006F1B0F" w:rsidP="0016419E">
      <w:pPr>
        <w:spacing w:after="200" w:line="276" w:lineRule="auto"/>
        <w:rPr>
          <w:rFonts w:ascii="Arial" w:hAnsi="Arial" w:cs="Arial"/>
          <w:b/>
        </w:rPr>
      </w:pPr>
      <w:r w:rsidRPr="006F1B0F">
        <w:rPr>
          <w:rFonts w:ascii="Arial" w:hAnsi="Arial" w:cs="Arial"/>
          <w:b/>
          <w:bCs/>
          <w:color w:val="000000"/>
        </w:rPr>
        <w:t xml:space="preserve">General Fund - Head of People &amp; Transformation </w:t>
      </w:r>
    </w:p>
    <w:p w:rsidR="00181E13" w:rsidRDefault="006613C1" w:rsidP="00181E13">
      <w:pPr>
        <w:rPr>
          <w:rFonts w:ascii="Arial" w:hAnsi="Arial" w:cs="Arial"/>
          <w:b/>
        </w:rPr>
      </w:pPr>
      <w:r w:rsidRPr="006613C1">
        <w:rPr>
          <w:noProof/>
        </w:rPr>
        <w:drawing>
          <wp:inline distT="0" distB="0" distL="0" distR="0">
            <wp:extent cx="5047615" cy="1953260"/>
            <wp:effectExtent l="0" t="0" r="63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7615" cy="1953260"/>
                    </a:xfrm>
                    <a:prstGeom prst="rect">
                      <a:avLst/>
                    </a:prstGeom>
                    <a:noFill/>
                    <a:ln>
                      <a:noFill/>
                    </a:ln>
                  </pic:spPr>
                </pic:pic>
              </a:graphicData>
            </a:graphic>
          </wp:inline>
        </w:drawing>
      </w:r>
    </w:p>
    <w:p w:rsidR="00F418DE" w:rsidRDefault="00F418DE" w:rsidP="00181E13">
      <w:pPr>
        <w:rPr>
          <w:rFonts w:ascii="Arial" w:hAnsi="Arial" w:cs="Arial"/>
          <w:b/>
        </w:rPr>
      </w:pPr>
    </w:p>
    <w:p w:rsidR="00F418DE" w:rsidRDefault="00F418DE" w:rsidP="00F418DE">
      <w:pPr>
        <w:pStyle w:val="ListParagraph"/>
        <w:numPr>
          <w:ilvl w:val="0"/>
          <w:numId w:val="6"/>
        </w:numPr>
        <w:rPr>
          <w:rFonts w:ascii="Arial" w:hAnsi="Arial" w:cs="Arial"/>
        </w:rPr>
      </w:pPr>
      <w:r>
        <w:rPr>
          <w:rFonts w:ascii="Arial" w:hAnsi="Arial" w:cs="Arial"/>
        </w:rPr>
        <w:t>Business Transformation Unit – JADU subscription overspend until savings realised to cover the cost.</w:t>
      </w:r>
    </w:p>
    <w:p w:rsidR="00F418DE" w:rsidRDefault="00F418DE" w:rsidP="00F418DE">
      <w:pPr>
        <w:pStyle w:val="ListParagraph"/>
        <w:numPr>
          <w:ilvl w:val="0"/>
          <w:numId w:val="6"/>
        </w:numPr>
        <w:rPr>
          <w:rFonts w:ascii="Arial" w:hAnsi="Arial" w:cs="Arial"/>
        </w:rPr>
      </w:pPr>
      <w:r>
        <w:rPr>
          <w:rFonts w:ascii="Arial" w:hAnsi="Arial" w:cs="Arial"/>
        </w:rPr>
        <w:t xml:space="preserve">ICT – </w:t>
      </w:r>
      <w:r w:rsidR="007865C9">
        <w:rPr>
          <w:rFonts w:ascii="Arial" w:hAnsi="Arial" w:cs="Arial"/>
        </w:rPr>
        <w:t>vacancy savings</w:t>
      </w:r>
      <w:r w:rsidR="00BF673B">
        <w:rPr>
          <w:rFonts w:ascii="Arial" w:hAnsi="Arial" w:cs="Arial"/>
        </w:rPr>
        <w:t xml:space="preserve">, </w:t>
      </w:r>
      <w:r w:rsidR="00E50272">
        <w:rPr>
          <w:rFonts w:ascii="Arial" w:hAnsi="Arial" w:cs="Arial"/>
        </w:rPr>
        <w:t>underspends on computer hardware</w:t>
      </w:r>
      <w:r w:rsidR="00BF673B">
        <w:rPr>
          <w:rFonts w:ascii="Arial" w:hAnsi="Arial" w:cs="Arial"/>
        </w:rPr>
        <w:t xml:space="preserve"> and communications budgets</w:t>
      </w:r>
      <w:r w:rsidR="007865C9">
        <w:rPr>
          <w:rFonts w:ascii="Arial" w:hAnsi="Arial" w:cs="Arial"/>
        </w:rPr>
        <w:t>.</w:t>
      </w:r>
    </w:p>
    <w:p w:rsidR="00F418DE" w:rsidRDefault="00F418DE" w:rsidP="00F418DE">
      <w:pPr>
        <w:pStyle w:val="ListParagraph"/>
        <w:numPr>
          <w:ilvl w:val="0"/>
          <w:numId w:val="6"/>
        </w:numPr>
        <w:rPr>
          <w:rFonts w:ascii="Arial" w:hAnsi="Arial" w:cs="Arial"/>
        </w:rPr>
      </w:pPr>
      <w:r w:rsidRPr="002912C7">
        <w:rPr>
          <w:rFonts w:ascii="Arial" w:hAnsi="Arial" w:cs="Arial"/>
        </w:rPr>
        <w:t xml:space="preserve">Customer Support </w:t>
      </w:r>
      <w:r w:rsidR="00BF673B">
        <w:rPr>
          <w:rFonts w:ascii="Arial" w:hAnsi="Arial" w:cs="Arial"/>
        </w:rPr>
        <w:t>–</w:t>
      </w:r>
      <w:r w:rsidRPr="002912C7">
        <w:rPr>
          <w:rFonts w:ascii="Arial" w:hAnsi="Arial" w:cs="Arial"/>
        </w:rPr>
        <w:t xml:space="preserve"> </w:t>
      </w:r>
      <w:r w:rsidR="00F012C7">
        <w:rPr>
          <w:rFonts w:ascii="Arial" w:hAnsi="Arial" w:cs="Arial"/>
        </w:rPr>
        <w:t xml:space="preserve">savings on </w:t>
      </w:r>
      <w:r w:rsidR="00BF673B">
        <w:rPr>
          <w:rFonts w:ascii="Arial" w:hAnsi="Arial" w:cs="Arial"/>
        </w:rPr>
        <w:t xml:space="preserve">supplies and services and </w:t>
      </w:r>
      <w:r w:rsidR="00BF673B" w:rsidRPr="002912C7">
        <w:rPr>
          <w:rFonts w:ascii="Arial" w:hAnsi="Arial" w:cs="Arial"/>
        </w:rPr>
        <w:t>vacanc</w:t>
      </w:r>
      <w:r w:rsidR="00F012C7">
        <w:rPr>
          <w:rFonts w:ascii="Arial" w:hAnsi="Arial" w:cs="Arial"/>
        </w:rPr>
        <w:t>ies</w:t>
      </w:r>
      <w:r w:rsidR="00BF673B" w:rsidRPr="002912C7">
        <w:rPr>
          <w:rFonts w:ascii="Arial" w:hAnsi="Arial" w:cs="Arial"/>
        </w:rPr>
        <w:t>.</w:t>
      </w:r>
    </w:p>
    <w:p w:rsidR="00F418DE" w:rsidRDefault="00F418DE" w:rsidP="00F418DE">
      <w:pPr>
        <w:pStyle w:val="ListParagraph"/>
        <w:numPr>
          <w:ilvl w:val="0"/>
          <w:numId w:val="6"/>
        </w:numPr>
        <w:rPr>
          <w:rFonts w:ascii="Arial" w:hAnsi="Arial" w:cs="Arial"/>
        </w:rPr>
      </w:pPr>
      <w:r>
        <w:rPr>
          <w:rFonts w:ascii="Arial" w:hAnsi="Arial" w:cs="Arial"/>
        </w:rPr>
        <w:t>Marketing –</w:t>
      </w:r>
      <w:r w:rsidR="00BF673B">
        <w:rPr>
          <w:rFonts w:ascii="Arial" w:hAnsi="Arial" w:cs="Arial"/>
        </w:rPr>
        <w:t xml:space="preserve"> </w:t>
      </w:r>
      <w:r w:rsidR="00F012C7">
        <w:rPr>
          <w:rFonts w:ascii="Arial" w:hAnsi="Arial" w:cs="Arial"/>
        </w:rPr>
        <w:t xml:space="preserve">savings on supplies and services and </w:t>
      </w:r>
      <w:r w:rsidR="00F012C7" w:rsidRPr="002912C7">
        <w:rPr>
          <w:rFonts w:ascii="Arial" w:hAnsi="Arial" w:cs="Arial"/>
        </w:rPr>
        <w:t>vacanc</w:t>
      </w:r>
      <w:r w:rsidR="00F012C7">
        <w:rPr>
          <w:rFonts w:ascii="Arial" w:hAnsi="Arial" w:cs="Arial"/>
        </w:rPr>
        <w:t>ies</w:t>
      </w:r>
      <w:r w:rsidR="00F012C7" w:rsidRPr="002912C7">
        <w:rPr>
          <w:rFonts w:ascii="Arial" w:hAnsi="Arial" w:cs="Arial"/>
        </w:rPr>
        <w:t>.</w:t>
      </w:r>
    </w:p>
    <w:p w:rsidR="00F418DE" w:rsidRDefault="00F418DE" w:rsidP="00F418DE">
      <w:pPr>
        <w:pStyle w:val="ListParagraph"/>
        <w:numPr>
          <w:ilvl w:val="0"/>
          <w:numId w:val="6"/>
        </w:numPr>
        <w:rPr>
          <w:rFonts w:ascii="Arial" w:hAnsi="Arial" w:cs="Arial"/>
        </w:rPr>
      </w:pPr>
      <w:r>
        <w:rPr>
          <w:rFonts w:ascii="Arial" w:hAnsi="Arial" w:cs="Arial"/>
        </w:rPr>
        <w:t>Civic Centre – agency costs due to vacancies.</w:t>
      </w:r>
    </w:p>
    <w:p w:rsidR="00F418DE" w:rsidRPr="00C67685" w:rsidRDefault="00F418DE" w:rsidP="00F418DE">
      <w:pPr>
        <w:pStyle w:val="ListParagraph"/>
        <w:numPr>
          <w:ilvl w:val="0"/>
          <w:numId w:val="6"/>
        </w:numPr>
        <w:rPr>
          <w:rFonts w:ascii="Arial" w:hAnsi="Arial" w:cs="Arial"/>
        </w:rPr>
      </w:pPr>
      <w:r>
        <w:rPr>
          <w:rFonts w:ascii="Arial" w:hAnsi="Arial" w:cs="Arial"/>
        </w:rPr>
        <w:t xml:space="preserve">Civic Centre Telephones </w:t>
      </w:r>
      <w:r w:rsidR="00BF673B">
        <w:rPr>
          <w:rFonts w:ascii="Arial" w:hAnsi="Arial" w:cs="Arial"/>
        </w:rPr>
        <w:t>– higher than anticipated costs</w:t>
      </w:r>
      <w:r w:rsidR="00F012C7">
        <w:rPr>
          <w:rFonts w:ascii="Arial" w:hAnsi="Arial" w:cs="Arial"/>
        </w:rPr>
        <w:t xml:space="preserve"> of telephone system</w:t>
      </w:r>
      <w:r w:rsidR="00BF673B">
        <w:rPr>
          <w:rFonts w:ascii="Arial" w:hAnsi="Arial" w:cs="Arial"/>
        </w:rPr>
        <w:t>.</w:t>
      </w:r>
    </w:p>
    <w:p w:rsidR="00F418DE" w:rsidRDefault="00F418DE" w:rsidP="00181E13">
      <w:pPr>
        <w:rPr>
          <w:rFonts w:ascii="Arial" w:hAnsi="Arial" w:cs="Arial"/>
          <w:b/>
        </w:rPr>
      </w:pPr>
    </w:p>
    <w:p w:rsidR="00181E13" w:rsidRDefault="00181E13" w:rsidP="00181E13">
      <w:pPr>
        <w:rPr>
          <w:rFonts w:ascii="Arial" w:hAnsi="Arial" w:cs="Arial"/>
          <w:b/>
        </w:rPr>
      </w:pPr>
    </w:p>
    <w:p w:rsidR="006F1B0F" w:rsidRPr="009045DB" w:rsidRDefault="00D727E5" w:rsidP="009045DB">
      <w:pPr>
        <w:spacing w:after="200" w:line="276" w:lineRule="auto"/>
        <w:rPr>
          <w:rFonts w:ascii="Arial" w:hAnsi="Arial" w:cs="Arial"/>
          <w:b/>
        </w:rPr>
      </w:pPr>
      <w:r>
        <w:rPr>
          <w:rFonts w:ascii="Arial" w:hAnsi="Arial" w:cs="Arial"/>
          <w:b/>
        </w:rPr>
        <w:t xml:space="preserve"> </w:t>
      </w:r>
      <w:r w:rsidR="006F1B0F" w:rsidRPr="006F1B0F">
        <w:rPr>
          <w:rFonts w:ascii="Arial" w:hAnsi="Arial" w:cs="Arial"/>
          <w:b/>
          <w:bCs/>
          <w:color w:val="000000"/>
        </w:rPr>
        <w:t xml:space="preserve">General Fund - Head of Planning &amp; Regeneration </w:t>
      </w:r>
    </w:p>
    <w:p w:rsidR="00DB1B2F" w:rsidRDefault="006613C1" w:rsidP="006613C1">
      <w:pPr>
        <w:spacing w:line="276" w:lineRule="auto"/>
        <w:rPr>
          <w:rFonts w:ascii="Arial" w:hAnsi="Arial" w:cs="Arial"/>
        </w:rPr>
      </w:pPr>
      <w:r w:rsidRPr="006613C1">
        <w:rPr>
          <w:noProof/>
        </w:rPr>
        <w:drawing>
          <wp:inline distT="0" distB="0" distL="0" distR="0">
            <wp:extent cx="4645025" cy="1675130"/>
            <wp:effectExtent l="0" t="0" r="317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5025" cy="1675130"/>
                    </a:xfrm>
                    <a:prstGeom prst="rect">
                      <a:avLst/>
                    </a:prstGeom>
                    <a:noFill/>
                    <a:ln>
                      <a:noFill/>
                    </a:ln>
                  </pic:spPr>
                </pic:pic>
              </a:graphicData>
            </a:graphic>
          </wp:inline>
        </w:drawing>
      </w:r>
    </w:p>
    <w:p w:rsidR="006613C1" w:rsidRDefault="006613C1" w:rsidP="006613C1">
      <w:pPr>
        <w:spacing w:line="276" w:lineRule="auto"/>
        <w:rPr>
          <w:rFonts w:ascii="Arial" w:hAnsi="Arial" w:cs="Arial"/>
        </w:rPr>
      </w:pPr>
    </w:p>
    <w:p w:rsidR="001037DD" w:rsidRPr="001037DD" w:rsidRDefault="001037DD" w:rsidP="001037DD">
      <w:pPr>
        <w:pStyle w:val="ListParagraph"/>
        <w:numPr>
          <w:ilvl w:val="0"/>
          <w:numId w:val="7"/>
        </w:numPr>
        <w:rPr>
          <w:rFonts w:ascii="Arial" w:hAnsi="Arial" w:cs="Arial"/>
        </w:rPr>
      </w:pPr>
      <w:r>
        <w:rPr>
          <w:rFonts w:ascii="Arial" w:hAnsi="Arial" w:cs="Arial"/>
        </w:rPr>
        <w:t>Land Charges –</w:t>
      </w:r>
      <w:r w:rsidR="00BF673B">
        <w:rPr>
          <w:rFonts w:ascii="Arial" w:hAnsi="Arial" w:cs="Arial"/>
        </w:rPr>
        <w:t xml:space="preserve"> system software savings and additional income.</w:t>
      </w:r>
    </w:p>
    <w:p w:rsidR="00F418DE" w:rsidRPr="00DD1DA5" w:rsidRDefault="00F418DE" w:rsidP="00F418DE">
      <w:pPr>
        <w:pStyle w:val="ListParagraph"/>
        <w:numPr>
          <w:ilvl w:val="0"/>
          <w:numId w:val="7"/>
        </w:numPr>
        <w:rPr>
          <w:rFonts w:ascii="Arial" w:hAnsi="Arial" w:cs="Arial"/>
        </w:rPr>
      </w:pPr>
      <w:r w:rsidRPr="00DD1DA5">
        <w:rPr>
          <w:rFonts w:ascii="Arial" w:hAnsi="Arial" w:cs="Arial"/>
        </w:rPr>
        <w:t xml:space="preserve">Design Services </w:t>
      </w:r>
      <w:r>
        <w:rPr>
          <w:rFonts w:ascii="Arial" w:hAnsi="Arial" w:cs="Arial"/>
        </w:rPr>
        <w:t xml:space="preserve">- </w:t>
      </w:r>
      <w:r w:rsidRPr="00DD1DA5">
        <w:rPr>
          <w:rFonts w:ascii="Arial" w:hAnsi="Arial" w:cs="Arial"/>
        </w:rPr>
        <w:t>overspending on agency costs.</w:t>
      </w:r>
    </w:p>
    <w:p w:rsidR="00F418DE" w:rsidRPr="00DD1DA5" w:rsidRDefault="00F418DE" w:rsidP="00F418DE">
      <w:pPr>
        <w:pStyle w:val="ListParagraph"/>
        <w:numPr>
          <w:ilvl w:val="0"/>
          <w:numId w:val="7"/>
        </w:numPr>
        <w:rPr>
          <w:rFonts w:ascii="Arial" w:hAnsi="Arial" w:cs="Arial"/>
        </w:rPr>
      </w:pPr>
      <w:r w:rsidRPr="00DD1DA5">
        <w:rPr>
          <w:rFonts w:ascii="Arial" w:hAnsi="Arial" w:cs="Arial"/>
        </w:rPr>
        <w:t>Development Management</w:t>
      </w:r>
      <w:r>
        <w:rPr>
          <w:rFonts w:ascii="Arial" w:hAnsi="Arial" w:cs="Arial"/>
        </w:rPr>
        <w:t xml:space="preserve"> -</w:t>
      </w:r>
      <w:r w:rsidRPr="00DD1DA5">
        <w:rPr>
          <w:rFonts w:ascii="Arial" w:hAnsi="Arial" w:cs="Arial"/>
        </w:rPr>
        <w:t xml:space="preserve"> overspending on agency costs.</w:t>
      </w:r>
    </w:p>
    <w:p w:rsidR="00F418DE" w:rsidRDefault="00F418DE" w:rsidP="00F418DE">
      <w:pPr>
        <w:pStyle w:val="ListParagraph"/>
        <w:numPr>
          <w:ilvl w:val="0"/>
          <w:numId w:val="7"/>
        </w:numPr>
        <w:rPr>
          <w:rFonts w:ascii="Arial" w:hAnsi="Arial" w:cs="Arial"/>
        </w:rPr>
      </w:pPr>
      <w:r w:rsidRPr="00DD1DA5">
        <w:rPr>
          <w:rFonts w:ascii="Arial" w:hAnsi="Arial" w:cs="Arial"/>
        </w:rPr>
        <w:t xml:space="preserve">Planning Policy </w:t>
      </w:r>
      <w:r>
        <w:rPr>
          <w:rFonts w:ascii="Arial" w:hAnsi="Arial" w:cs="Arial"/>
        </w:rPr>
        <w:t xml:space="preserve">- </w:t>
      </w:r>
      <w:r w:rsidRPr="00DD1DA5">
        <w:rPr>
          <w:rFonts w:ascii="Arial" w:hAnsi="Arial" w:cs="Arial"/>
        </w:rPr>
        <w:t>vacancy underspends.</w:t>
      </w:r>
    </w:p>
    <w:p w:rsidR="001037DD" w:rsidRPr="00DD1DA5" w:rsidRDefault="001037DD" w:rsidP="00F418DE">
      <w:pPr>
        <w:pStyle w:val="ListParagraph"/>
        <w:numPr>
          <w:ilvl w:val="0"/>
          <w:numId w:val="7"/>
        </w:numPr>
        <w:rPr>
          <w:rFonts w:ascii="Arial" w:hAnsi="Arial" w:cs="Arial"/>
        </w:rPr>
      </w:pPr>
      <w:r>
        <w:rPr>
          <w:rFonts w:ascii="Arial" w:hAnsi="Arial" w:cs="Arial"/>
        </w:rPr>
        <w:t xml:space="preserve">Planning Local Development Framework </w:t>
      </w:r>
      <w:r w:rsidR="00BF673B">
        <w:rPr>
          <w:rFonts w:ascii="Arial" w:hAnsi="Arial" w:cs="Arial"/>
        </w:rPr>
        <w:t>–</w:t>
      </w:r>
      <w:r>
        <w:rPr>
          <w:rFonts w:ascii="Arial" w:hAnsi="Arial" w:cs="Arial"/>
        </w:rPr>
        <w:t xml:space="preserve"> </w:t>
      </w:r>
      <w:r w:rsidR="00BF673B">
        <w:rPr>
          <w:rFonts w:ascii="Arial" w:hAnsi="Arial" w:cs="Arial"/>
        </w:rPr>
        <w:t>underspends on hired and contracted services.</w:t>
      </w:r>
    </w:p>
    <w:p w:rsidR="00DB1B2F" w:rsidRDefault="00DB1B2F">
      <w:pPr>
        <w:spacing w:after="200" w:line="276" w:lineRule="auto"/>
        <w:rPr>
          <w:rFonts w:ascii="Arial" w:hAnsi="Arial" w:cs="Arial"/>
          <w:b/>
        </w:rPr>
      </w:pPr>
    </w:p>
    <w:p w:rsidR="00DB1B2F" w:rsidRDefault="00DB1B2F">
      <w:pPr>
        <w:spacing w:after="200" w:line="276" w:lineRule="auto"/>
        <w:rPr>
          <w:rFonts w:ascii="Arial" w:hAnsi="Arial" w:cs="Arial"/>
          <w:b/>
        </w:rPr>
      </w:pPr>
      <w:r w:rsidRPr="0087559C">
        <w:rPr>
          <w:rFonts w:ascii="Arial" w:hAnsi="Arial" w:cs="Arial"/>
          <w:b/>
        </w:rPr>
        <w:t>General Fund –</w:t>
      </w:r>
      <w:r>
        <w:rPr>
          <w:rFonts w:ascii="Arial" w:hAnsi="Arial" w:cs="Arial"/>
          <w:b/>
        </w:rPr>
        <w:t xml:space="preserve"> Law and Governance </w:t>
      </w:r>
    </w:p>
    <w:p w:rsidR="007244AB" w:rsidRDefault="002F0FF1">
      <w:pPr>
        <w:spacing w:after="200" w:line="276" w:lineRule="auto"/>
        <w:rPr>
          <w:rFonts w:ascii="Arial" w:hAnsi="Arial" w:cs="Arial"/>
          <w:b/>
        </w:rPr>
      </w:pPr>
      <w:r w:rsidRPr="002F0FF1">
        <w:rPr>
          <w:noProof/>
        </w:rPr>
        <w:drawing>
          <wp:inline distT="0" distB="0" distL="0" distR="0">
            <wp:extent cx="5113020" cy="13823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3020" cy="1382395"/>
                    </a:xfrm>
                    <a:prstGeom prst="rect">
                      <a:avLst/>
                    </a:prstGeom>
                    <a:noFill/>
                    <a:ln>
                      <a:noFill/>
                    </a:ln>
                  </pic:spPr>
                </pic:pic>
              </a:graphicData>
            </a:graphic>
          </wp:inline>
        </w:drawing>
      </w:r>
    </w:p>
    <w:p w:rsidR="001037DD" w:rsidRDefault="00BF673B" w:rsidP="001037DD">
      <w:pPr>
        <w:pStyle w:val="ListParagraph"/>
        <w:numPr>
          <w:ilvl w:val="0"/>
          <w:numId w:val="7"/>
        </w:numPr>
        <w:rPr>
          <w:rFonts w:ascii="Arial" w:hAnsi="Arial" w:cs="Arial"/>
        </w:rPr>
      </w:pPr>
      <w:r>
        <w:rPr>
          <w:rFonts w:ascii="Arial" w:hAnsi="Arial" w:cs="Arial"/>
        </w:rPr>
        <w:t xml:space="preserve">Health &amp; </w:t>
      </w:r>
      <w:r w:rsidR="0080617B">
        <w:rPr>
          <w:rFonts w:ascii="Arial" w:hAnsi="Arial" w:cs="Arial"/>
        </w:rPr>
        <w:t>Safety – cost of shared service</w:t>
      </w:r>
      <w:r>
        <w:rPr>
          <w:rFonts w:ascii="Arial" w:hAnsi="Arial" w:cs="Arial"/>
        </w:rPr>
        <w:t xml:space="preserve"> less than anticipated</w:t>
      </w:r>
      <w:r w:rsidR="001037DD" w:rsidRPr="002912C7">
        <w:rPr>
          <w:rFonts w:ascii="Arial" w:hAnsi="Arial" w:cs="Arial"/>
        </w:rPr>
        <w:t>.</w:t>
      </w:r>
    </w:p>
    <w:p w:rsidR="001037DD" w:rsidRPr="002912C7" w:rsidRDefault="001037DD" w:rsidP="001037DD">
      <w:pPr>
        <w:pStyle w:val="ListParagraph"/>
        <w:numPr>
          <w:ilvl w:val="0"/>
          <w:numId w:val="7"/>
        </w:numPr>
        <w:rPr>
          <w:rFonts w:ascii="Arial" w:hAnsi="Arial" w:cs="Arial"/>
        </w:rPr>
      </w:pPr>
      <w:r>
        <w:rPr>
          <w:rFonts w:ascii="Arial" w:hAnsi="Arial" w:cs="Arial"/>
        </w:rPr>
        <w:t xml:space="preserve">Democratic Representation </w:t>
      </w:r>
      <w:r w:rsidR="00BF673B">
        <w:rPr>
          <w:rFonts w:ascii="Arial" w:hAnsi="Arial" w:cs="Arial"/>
        </w:rPr>
        <w:t>–</w:t>
      </w:r>
      <w:r>
        <w:rPr>
          <w:rFonts w:ascii="Arial" w:hAnsi="Arial" w:cs="Arial"/>
        </w:rPr>
        <w:t xml:space="preserve"> </w:t>
      </w:r>
      <w:r w:rsidR="00BF673B">
        <w:rPr>
          <w:rFonts w:ascii="Arial" w:hAnsi="Arial" w:cs="Arial"/>
        </w:rPr>
        <w:t>savings on NI and leader allowances.</w:t>
      </w:r>
    </w:p>
    <w:p w:rsidR="007244AB" w:rsidRPr="00417234" w:rsidRDefault="001037DD" w:rsidP="00417234">
      <w:pPr>
        <w:pStyle w:val="ListParagraph"/>
        <w:numPr>
          <w:ilvl w:val="0"/>
          <w:numId w:val="7"/>
        </w:numPr>
        <w:rPr>
          <w:rFonts w:ascii="Arial" w:hAnsi="Arial" w:cs="Arial"/>
        </w:rPr>
      </w:pPr>
      <w:r>
        <w:rPr>
          <w:rFonts w:ascii="Arial" w:hAnsi="Arial" w:cs="Arial"/>
        </w:rPr>
        <w:t xml:space="preserve">Democratic Support – </w:t>
      </w:r>
      <w:r w:rsidRPr="00CB7325">
        <w:rPr>
          <w:rFonts w:ascii="Arial" w:hAnsi="Arial" w:cs="Arial"/>
        </w:rPr>
        <w:t>Salary costs to cover extra duties to be recovered by elections salary savings.</w:t>
      </w:r>
    </w:p>
    <w:p w:rsidR="00DB1B2F" w:rsidRPr="00CB7325" w:rsidRDefault="00DB1B2F" w:rsidP="00DB1B2F">
      <w:pPr>
        <w:pStyle w:val="ListParagraph"/>
        <w:rPr>
          <w:rFonts w:ascii="Arial" w:hAnsi="Arial" w:cs="Arial"/>
        </w:rPr>
      </w:pPr>
    </w:p>
    <w:p w:rsidR="00DB1B2F" w:rsidRDefault="00DB1B2F" w:rsidP="00DB1B2F">
      <w:pPr>
        <w:spacing w:after="200" w:line="276" w:lineRule="auto"/>
        <w:rPr>
          <w:rFonts w:ascii="Arial" w:hAnsi="Arial" w:cs="Arial"/>
          <w:b/>
        </w:rPr>
      </w:pPr>
      <w:r w:rsidRPr="0087559C">
        <w:rPr>
          <w:rFonts w:ascii="Arial" w:hAnsi="Arial" w:cs="Arial"/>
          <w:b/>
        </w:rPr>
        <w:t>General Fund –</w:t>
      </w:r>
      <w:r>
        <w:rPr>
          <w:rFonts w:ascii="Arial" w:hAnsi="Arial" w:cs="Arial"/>
          <w:b/>
        </w:rPr>
        <w:t xml:space="preserve"> Housing </w:t>
      </w:r>
    </w:p>
    <w:p w:rsidR="007244AB" w:rsidRDefault="00FC01D9" w:rsidP="00DB1B2F">
      <w:pPr>
        <w:spacing w:after="200" w:line="276" w:lineRule="auto"/>
        <w:rPr>
          <w:rFonts w:ascii="Arial" w:hAnsi="Arial" w:cs="Arial"/>
          <w:b/>
        </w:rPr>
      </w:pPr>
      <w:r w:rsidRPr="00FC01D9">
        <w:rPr>
          <w:noProof/>
        </w:rPr>
        <w:drawing>
          <wp:inline distT="0" distB="0" distL="0" distR="0">
            <wp:extent cx="5001370" cy="10737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0102" cy="1079933"/>
                    </a:xfrm>
                    <a:prstGeom prst="rect">
                      <a:avLst/>
                    </a:prstGeom>
                    <a:noFill/>
                    <a:ln>
                      <a:noFill/>
                    </a:ln>
                  </pic:spPr>
                </pic:pic>
              </a:graphicData>
            </a:graphic>
          </wp:inline>
        </w:drawing>
      </w:r>
    </w:p>
    <w:p w:rsidR="00417234" w:rsidRPr="00417234" w:rsidRDefault="001037DD" w:rsidP="00417234">
      <w:pPr>
        <w:pStyle w:val="ListParagraph"/>
        <w:numPr>
          <w:ilvl w:val="0"/>
          <w:numId w:val="7"/>
        </w:numPr>
        <w:rPr>
          <w:rFonts w:ascii="Arial" w:hAnsi="Arial" w:cs="Arial"/>
        </w:rPr>
      </w:pPr>
      <w:r>
        <w:rPr>
          <w:rFonts w:ascii="Arial" w:hAnsi="Arial" w:cs="Arial"/>
        </w:rPr>
        <w:t xml:space="preserve">Increased contribution </w:t>
      </w:r>
      <w:r w:rsidRPr="002912C7">
        <w:rPr>
          <w:rFonts w:ascii="Arial" w:hAnsi="Arial" w:cs="Arial"/>
        </w:rPr>
        <w:t>for permanent and agency staff to deliver mandatory &amp; discretionary grant schemes &amp; additional assistance.</w:t>
      </w:r>
    </w:p>
    <w:p w:rsidR="00417234" w:rsidRPr="00417234" w:rsidRDefault="00417234" w:rsidP="00417234">
      <w:pPr>
        <w:rPr>
          <w:rFonts w:ascii="Arial" w:hAnsi="Arial" w:cs="Arial"/>
        </w:rPr>
      </w:pPr>
    </w:p>
    <w:p w:rsidR="00417234" w:rsidRPr="001037DD" w:rsidRDefault="00417234" w:rsidP="001037DD">
      <w:pPr>
        <w:pStyle w:val="ListParagraph"/>
        <w:rPr>
          <w:rFonts w:ascii="Arial" w:hAnsi="Arial" w:cs="Arial"/>
        </w:rPr>
      </w:pPr>
    </w:p>
    <w:p w:rsidR="007244AB" w:rsidRDefault="00DB1B2F" w:rsidP="00DB1B2F">
      <w:pPr>
        <w:spacing w:after="200" w:line="276" w:lineRule="auto"/>
        <w:rPr>
          <w:rFonts w:ascii="Arial" w:hAnsi="Arial" w:cs="Arial"/>
          <w:b/>
        </w:rPr>
      </w:pPr>
      <w:r w:rsidRPr="0087559C">
        <w:rPr>
          <w:rFonts w:ascii="Arial" w:hAnsi="Arial" w:cs="Arial"/>
          <w:b/>
        </w:rPr>
        <w:t>General Fund –</w:t>
      </w:r>
      <w:r>
        <w:rPr>
          <w:rFonts w:ascii="Arial" w:hAnsi="Arial" w:cs="Arial"/>
          <w:b/>
        </w:rPr>
        <w:t xml:space="preserve"> Financing </w:t>
      </w:r>
    </w:p>
    <w:p w:rsidR="001037DD" w:rsidRDefault="00B202A2" w:rsidP="00DB1B2F">
      <w:pPr>
        <w:spacing w:after="200" w:line="276" w:lineRule="auto"/>
        <w:rPr>
          <w:rFonts w:ascii="Arial" w:hAnsi="Arial" w:cs="Arial"/>
          <w:b/>
        </w:rPr>
      </w:pPr>
      <w:r w:rsidRPr="00B202A2">
        <w:rPr>
          <w:noProof/>
        </w:rPr>
        <w:drawing>
          <wp:inline distT="0" distB="0" distL="0" distR="0">
            <wp:extent cx="5112385" cy="2536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12385" cy="2536190"/>
                    </a:xfrm>
                    <a:prstGeom prst="rect">
                      <a:avLst/>
                    </a:prstGeom>
                    <a:noFill/>
                    <a:ln>
                      <a:noFill/>
                    </a:ln>
                  </pic:spPr>
                </pic:pic>
              </a:graphicData>
            </a:graphic>
          </wp:inline>
        </w:drawing>
      </w:r>
    </w:p>
    <w:p w:rsidR="001037DD" w:rsidRPr="00BF673B" w:rsidRDefault="001037DD" w:rsidP="001037DD">
      <w:pPr>
        <w:pStyle w:val="ListParagraph"/>
        <w:numPr>
          <w:ilvl w:val="0"/>
          <w:numId w:val="7"/>
        </w:numPr>
        <w:rPr>
          <w:rFonts w:ascii="Arial" w:hAnsi="Arial" w:cs="Arial"/>
        </w:rPr>
      </w:pPr>
      <w:r w:rsidRPr="00BF673B">
        <w:rPr>
          <w:rFonts w:ascii="Arial" w:hAnsi="Arial" w:cs="Arial"/>
        </w:rPr>
        <w:t xml:space="preserve">Investment Properties </w:t>
      </w:r>
      <w:r w:rsidR="00BF673B" w:rsidRPr="00BF673B">
        <w:rPr>
          <w:rFonts w:ascii="Arial" w:hAnsi="Arial" w:cs="Arial"/>
        </w:rPr>
        <w:t>–</w:t>
      </w:r>
      <w:r w:rsidR="00E50272">
        <w:rPr>
          <w:rFonts w:ascii="Arial" w:hAnsi="Arial" w:cs="Arial"/>
        </w:rPr>
        <w:t xml:space="preserve"> O</w:t>
      </w:r>
      <w:r w:rsidR="00E328B7">
        <w:rPr>
          <w:rFonts w:ascii="Arial" w:hAnsi="Arial" w:cs="Arial"/>
        </w:rPr>
        <w:t>ne property wa</w:t>
      </w:r>
      <w:r w:rsidR="00BF673B" w:rsidRPr="00BF673B">
        <w:rPr>
          <w:rFonts w:ascii="Arial" w:hAnsi="Arial" w:cs="Arial"/>
        </w:rPr>
        <w:t xml:space="preserve">s </w:t>
      </w:r>
      <w:r w:rsidR="00E50272">
        <w:rPr>
          <w:rFonts w:ascii="Arial" w:hAnsi="Arial" w:cs="Arial"/>
        </w:rPr>
        <w:t xml:space="preserve">part </w:t>
      </w:r>
      <w:r w:rsidRPr="00BF673B">
        <w:rPr>
          <w:rFonts w:ascii="Arial" w:hAnsi="Arial" w:cs="Arial"/>
        </w:rPr>
        <w:t>of a CVA and was then sold on 17 Jan 2022.</w:t>
      </w:r>
    </w:p>
    <w:p w:rsidR="001037DD" w:rsidRDefault="001037DD" w:rsidP="001037DD">
      <w:pPr>
        <w:pStyle w:val="ListParagraph"/>
        <w:numPr>
          <w:ilvl w:val="0"/>
          <w:numId w:val="7"/>
        </w:numPr>
        <w:rPr>
          <w:rFonts w:ascii="Arial" w:hAnsi="Arial" w:cs="Arial"/>
        </w:rPr>
      </w:pPr>
      <w:r w:rsidRPr="00610398">
        <w:rPr>
          <w:rFonts w:ascii="Arial" w:hAnsi="Arial" w:cs="Arial"/>
        </w:rPr>
        <w:t>Council Tax income - estimated surplus distribution for 2020/21 was unknown at budget setting.</w:t>
      </w:r>
    </w:p>
    <w:p w:rsidR="00610398" w:rsidRPr="00962379" w:rsidRDefault="00610398" w:rsidP="00610398">
      <w:pPr>
        <w:pStyle w:val="ListParagraph"/>
        <w:numPr>
          <w:ilvl w:val="0"/>
          <w:numId w:val="7"/>
        </w:numPr>
        <w:rPr>
          <w:rFonts w:ascii="Arial" w:hAnsi="Arial" w:cs="Arial"/>
        </w:rPr>
      </w:pPr>
      <w:r w:rsidRPr="00962379">
        <w:rPr>
          <w:rFonts w:ascii="Arial" w:hAnsi="Arial" w:cs="Arial"/>
        </w:rPr>
        <w:t>Loan interest HRA</w:t>
      </w:r>
      <w:r w:rsidR="008D4279" w:rsidRPr="00962379">
        <w:rPr>
          <w:rFonts w:ascii="Arial" w:hAnsi="Arial" w:cs="Arial"/>
        </w:rPr>
        <w:t>–</w:t>
      </w:r>
      <w:r w:rsidR="00962379" w:rsidRPr="00962379">
        <w:rPr>
          <w:rFonts w:ascii="Arial" w:hAnsi="Arial" w:cs="Arial"/>
        </w:rPr>
        <w:t xml:space="preserve"> Change in the rate used to calculate interest charges to the HRA.</w:t>
      </w:r>
    </w:p>
    <w:p w:rsidR="00C619DD" w:rsidRPr="00962379" w:rsidRDefault="00C619DD" w:rsidP="00610398">
      <w:pPr>
        <w:pStyle w:val="ListParagraph"/>
        <w:numPr>
          <w:ilvl w:val="0"/>
          <w:numId w:val="7"/>
        </w:numPr>
        <w:rPr>
          <w:rFonts w:ascii="Arial" w:hAnsi="Arial" w:cs="Arial"/>
        </w:rPr>
      </w:pPr>
      <w:r w:rsidRPr="00962379">
        <w:rPr>
          <w:rFonts w:ascii="Arial" w:hAnsi="Arial" w:cs="Arial"/>
        </w:rPr>
        <w:t xml:space="preserve">Debt management recharge – </w:t>
      </w:r>
      <w:r w:rsidR="00962379" w:rsidRPr="00962379">
        <w:rPr>
          <w:rFonts w:ascii="Arial" w:hAnsi="Arial" w:cs="Arial"/>
        </w:rPr>
        <w:t xml:space="preserve">Income has been credited </w:t>
      </w:r>
      <w:r w:rsidR="00962379">
        <w:rPr>
          <w:rFonts w:ascii="Arial" w:hAnsi="Arial" w:cs="Arial"/>
        </w:rPr>
        <w:t xml:space="preserve">directly </w:t>
      </w:r>
      <w:r w:rsidR="00962379" w:rsidRPr="00962379">
        <w:rPr>
          <w:rFonts w:ascii="Arial" w:hAnsi="Arial" w:cs="Arial"/>
        </w:rPr>
        <w:t xml:space="preserve">to the services </w:t>
      </w:r>
      <w:r w:rsidR="00962379">
        <w:rPr>
          <w:rFonts w:ascii="Arial" w:hAnsi="Arial" w:cs="Arial"/>
        </w:rPr>
        <w:t xml:space="preserve">which have </w:t>
      </w:r>
      <w:r w:rsidR="00962379" w:rsidRPr="00962379">
        <w:rPr>
          <w:rFonts w:ascii="Arial" w:hAnsi="Arial" w:cs="Arial"/>
        </w:rPr>
        <w:t>incurr</w:t>
      </w:r>
      <w:r w:rsidR="00962379">
        <w:rPr>
          <w:rFonts w:ascii="Arial" w:hAnsi="Arial" w:cs="Arial"/>
        </w:rPr>
        <w:t xml:space="preserve">ed </w:t>
      </w:r>
      <w:r w:rsidR="00962379" w:rsidRPr="00962379">
        <w:rPr>
          <w:rFonts w:ascii="Arial" w:hAnsi="Arial" w:cs="Arial"/>
        </w:rPr>
        <w:t>debt management costs.</w:t>
      </w:r>
    </w:p>
    <w:p w:rsidR="00C619DD" w:rsidRPr="00962379" w:rsidRDefault="00C619DD" w:rsidP="00610398">
      <w:pPr>
        <w:pStyle w:val="ListParagraph"/>
        <w:numPr>
          <w:ilvl w:val="0"/>
          <w:numId w:val="7"/>
        </w:numPr>
        <w:rPr>
          <w:rFonts w:ascii="Arial" w:hAnsi="Arial" w:cs="Arial"/>
        </w:rPr>
      </w:pPr>
      <w:r w:rsidRPr="00962379">
        <w:rPr>
          <w:rFonts w:ascii="Arial" w:hAnsi="Arial" w:cs="Arial"/>
        </w:rPr>
        <w:t xml:space="preserve">Bank Deposit Interest </w:t>
      </w:r>
      <w:r w:rsidR="00962379" w:rsidRPr="00962379">
        <w:rPr>
          <w:rFonts w:ascii="Arial" w:hAnsi="Arial" w:cs="Arial"/>
        </w:rPr>
        <w:t>–</w:t>
      </w:r>
      <w:r w:rsidRPr="00962379">
        <w:rPr>
          <w:rFonts w:ascii="Arial" w:hAnsi="Arial" w:cs="Arial"/>
        </w:rPr>
        <w:t xml:space="preserve"> </w:t>
      </w:r>
      <w:r w:rsidR="00962379" w:rsidRPr="00962379">
        <w:rPr>
          <w:rFonts w:ascii="Arial" w:hAnsi="Arial" w:cs="Arial"/>
        </w:rPr>
        <w:t>Increase in interest rates received on deposits.</w:t>
      </w:r>
    </w:p>
    <w:p w:rsidR="001037DD" w:rsidRPr="00962379" w:rsidRDefault="001037DD" w:rsidP="001037DD">
      <w:pPr>
        <w:pStyle w:val="ListParagraph"/>
        <w:numPr>
          <w:ilvl w:val="0"/>
          <w:numId w:val="7"/>
        </w:numPr>
        <w:rPr>
          <w:rFonts w:ascii="Arial" w:hAnsi="Arial" w:cs="Arial"/>
        </w:rPr>
      </w:pPr>
      <w:r w:rsidRPr="00962379">
        <w:rPr>
          <w:rFonts w:ascii="Arial" w:hAnsi="Arial" w:cs="Arial"/>
        </w:rPr>
        <w:t>Housing Company Loan Interest - Interest accruing on loans to the Housing Company due to it taking longer than expected to sell the remaining houses.</w:t>
      </w:r>
    </w:p>
    <w:p w:rsidR="001037DD" w:rsidRPr="00962379" w:rsidRDefault="001037DD" w:rsidP="00BF673B">
      <w:pPr>
        <w:pStyle w:val="ListParagraph"/>
        <w:numPr>
          <w:ilvl w:val="0"/>
          <w:numId w:val="7"/>
        </w:numPr>
        <w:rPr>
          <w:rFonts w:ascii="Arial" w:hAnsi="Arial" w:cs="Arial"/>
        </w:rPr>
      </w:pPr>
      <w:r w:rsidRPr="00962379">
        <w:rPr>
          <w:rFonts w:ascii="Arial" w:hAnsi="Arial" w:cs="Arial"/>
        </w:rPr>
        <w:t>PWLB</w:t>
      </w:r>
      <w:r w:rsidRPr="00962379">
        <w:t xml:space="preserve"> </w:t>
      </w:r>
      <w:r w:rsidRPr="00962379">
        <w:rPr>
          <w:rFonts w:ascii="Arial" w:hAnsi="Arial" w:cs="Arial"/>
        </w:rPr>
        <w:t xml:space="preserve">Interest - </w:t>
      </w:r>
      <w:r w:rsidR="00BF673B" w:rsidRPr="00962379">
        <w:rPr>
          <w:rFonts w:ascii="Arial" w:hAnsi="Arial" w:cs="Arial"/>
        </w:rPr>
        <w:t>Budgeted loans were not required to be taken out due to higher than expected cash balances and slippage on the capital programmes.</w:t>
      </w:r>
    </w:p>
    <w:p w:rsidR="001037DD" w:rsidRPr="00962379" w:rsidRDefault="001037DD" w:rsidP="001037DD">
      <w:pPr>
        <w:pStyle w:val="ListParagraph"/>
        <w:numPr>
          <w:ilvl w:val="0"/>
          <w:numId w:val="7"/>
        </w:numPr>
        <w:rPr>
          <w:rFonts w:ascii="Arial" w:hAnsi="Arial" w:cs="Arial"/>
        </w:rPr>
      </w:pPr>
      <w:r w:rsidRPr="00962379">
        <w:rPr>
          <w:rFonts w:ascii="Arial" w:hAnsi="Arial" w:cs="Arial"/>
        </w:rPr>
        <w:t xml:space="preserve">Interest paid Gross- HRA. - Interest paid to the HRA </w:t>
      </w:r>
      <w:r w:rsidR="00962379" w:rsidRPr="00962379">
        <w:rPr>
          <w:rFonts w:ascii="Arial" w:hAnsi="Arial" w:cs="Arial"/>
        </w:rPr>
        <w:t xml:space="preserve">was higher than </w:t>
      </w:r>
      <w:r w:rsidRPr="00962379">
        <w:rPr>
          <w:rFonts w:ascii="Arial" w:hAnsi="Arial" w:cs="Arial"/>
        </w:rPr>
        <w:t xml:space="preserve">expected </w:t>
      </w:r>
      <w:r w:rsidR="00962379" w:rsidRPr="00962379">
        <w:rPr>
          <w:rFonts w:ascii="Arial" w:hAnsi="Arial" w:cs="Arial"/>
        </w:rPr>
        <w:t xml:space="preserve">due to increased HRA balances and an increase in </w:t>
      </w:r>
      <w:r w:rsidRPr="00962379">
        <w:rPr>
          <w:rFonts w:ascii="Arial" w:hAnsi="Arial" w:cs="Arial"/>
        </w:rPr>
        <w:t>interest rates.</w:t>
      </w:r>
    </w:p>
    <w:p w:rsidR="001037DD" w:rsidRPr="002B0D55" w:rsidRDefault="001037DD" w:rsidP="001037DD">
      <w:pPr>
        <w:pStyle w:val="ListParagraph"/>
        <w:numPr>
          <w:ilvl w:val="0"/>
          <w:numId w:val="7"/>
        </w:numPr>
        <w:rPr>
          <w:rFonts w:ascii="Arial" w:hAnsi="Arial" w:cs="Arial"/>
        </w:rPr>
      </w:pPr>
      <w:r w:rsidRPr="002B0D55">
        <w:rPr>
          <w:rFonts w:ascii="Arial" w:hAnsi="Arial" w:cs="Arial"/>
        </w:rPr>
        <w:t>Non-Ring fenced Government Grants - we have received unanticipated Covid grants which have been offset against additional expenditure.</w:t>
      </w:r>
    </w:p>
    <w:p w:rsidR="001037DD" w:rsidRDefault="001037DD" w:rsidP="00DB1B2F">
      <w:pPr>
        <w:spacing w:after="200" w:line="276" w:lineRule="auto"/>
        <w:rPr>
          <w:rFonts w:ascii="Arial" w:hAnsi="Arial" w:cs="Arial"/>
          <w:b/>
        </w:rPr>
      </w:pPr>
    </w:p>
    <w:p w:rsidR="002F0FF1" w:rsidRPr="008B58E1" w:rsidRDefault="007244AB" w:rsidP="008B58E1">
      <w:pPr>
        <w:spacing w:after="200" w:line="276" w:lineRule="auto"/>
        <w:rPr>
          <w:rFonts w:ascii="Arial" w:hAnsi="Arial" w:cs="Arial"/>
        </w:rPr>
      </w:pPr>
      <w:r w:rsidRPr="007244AB">
        <w:t xml:space="preserve"> </w:t>
      </w:r>
    </w:p>
    <w:p w:rsidR="002D09A6" w:rsidRDefault="003F6E31" w:rsidP="002D09A6">
      <w:pPr>
        <w:rPr>
          <w:rFonts w:ascii="Arial" w:hAnsi="Arial" w:cs="Arial"/>
          <w:b/>
        </w:rPr>
      </w:pPr>
      <w:r>
        <w:rPr>
          <w:rFonts w:ascii="Arial" w:hAnsi="Arial" w:cs="Arial"/>
          <w:b/>
        </w:rPr>
        <w:t xml:space="preserve">Appendix </w:t>
      </w:r>
      <w:r w:rsidR="00975329">
        <w:rPr>
          <w:rFonts w:ascii="Arial" w:hAnsi="Arial" w:cs="Arial"/>
          <w:b/>
        </w:rPr>
        <w:t>2</w:t>
      </w:r>
      <w:r w:rsidR="002D09A6" w:rsidRPr="00E50EEC">
        <w:rPr>
          <w:rFonts w:ascii="Arial" w:hAnsi="Arial" w:cs="Arial"/>
          <w:b/>
        </w:rPr>
        <w:t xml:space="preserve"> – </w:t>
      </w:r>
      <w:r w:rsidR="002D09A6">
        <w:rPr>
          <w:rFonts w:ascii="Arial" w:hAnsi="Arial" w:cs="Arial"/>
          <w:b/>
        </w:rPr>
        <w:t>Housing Revenue Account</w:t>
      </w:r>
      <w:r w:rsidR="00975329">
        <w:rPr>
          <w:rFonts w:ascii="Arial" w:hAnsi="Arial" w:cs="Arial"/>
          <w:b/>
        </w:rPr>
        <w:t xml:space="preserve"> </w:t>
      </w:r>
      <w:r w:rsidR="002D09A6" w:rsidRPr="00E50EEC">
        <w:rPr>
          <w:rFonts w:ascii="Arial" w:hAnsi="Arial" w:cs="Arial"/>
          <w:b/>
        </w:rPr>
        <w:t>– Significant Variances</w:t>
      </w:r>
    </w:p>
    <w:p w:rsidR="00F553CB" w:rsidRDefault="00F553CB" w:rsidP="002D09A6">
      <w:pPr>
        <w:rPr>
          <w:rFonts w:ascii="Arial" w:hAnsi="Arial" w:cs="Arial"/>
          <w:b/>
        </w:rPr>
      </w:pPr>
    </w:p>
    <w:p w:rsidR="00F553CB" w:rsidRDefault="00F553CB" w:rsidP="002D09A6">
      <w:pPr>
        <w:rPr>
          <w:rFonts w:ascii="Arial" w:hAnsi="Arial" w:cs="Arial"/>
          <w:b/>
        </w:rPr>
      </w:pPr>
    </w:p>
    <w:p w:rsidR="00F553CB" w:rsidRDefault="00B202A2" w:rsidP="002D09A6">
      <w:pPr>
        <w:rPr>
          <w:rFonts w:ascii="Arial" w:hAnsi="Arial" w:cs="Arial"/>
          <w:b/>
        </w:rPr>
      </w:pPr>
      <w:r w:rsidRPr="00B202A2">
        <w:rPr>
          <w:noProof/>
        </w:rPr>
        <w:drawing>
          <wp:inline distT="0" distB="0" distL="0" distR="0">
            <wp:extent cx="4683125" cy="34747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3125" cy="3474720"/>
                    </a:xfrm>
                    <a:prstGeom prst="rect">
                      <a:avLst/>
                    </a:prstGeom>
                    <a:noFill/>
                    <a:ln>
                      <a:noFill/>
                    </a:ln>
                  </pic:spPr>
                </pic:pic>
              </a:graphicData>
            </a:graphic>
          </wp:inline>
        </w:drawing>
      </w:r>
    </w:p>
    <w:p w:rsidR="00B202A2" w:rsidRDefault="00B202A2" w:rsidP="002D09A6">
      <w:pPr>
        <w:rPr>
          <w:rFonts w:ascii="Arial" w:hAnsi="Arial" w:cs="Arial"/>
          <w:b/>
        </w:rPr>
      </w:pPr>
    </w:p>
    <w:p w:rsidR="00B202A2" w:rsidRDefault="00B202A2" w:rsidP="002D09A6">
      <w:pPr>
        <w:rPr>
          <w:rFonts w:ascii="Arial" w:hAnsi="Arial" w:cs="Arial"/>
          <w:b/>
        </w:rPr>
      </w:pPr>
    </w:p>
    <w:p w:rsidR="00B202A2" w:rsidRDefault="00B202A2" w:rsidP="002D09A6">
      <w:pPr>
        <w:rPr>
          <w:rFonts w:ascii="Arial" w:hAnsi="Arial" w:cs="Arial"/>
          <w:b/>
        </w:rPr>
      </w:pPr>
    </w:p>
    <w:p w:rsidR="00F553CB" w:rsidRDefault="00F553CB" w:rsidP="002D09A6">
      <w:pPr>
        <w:rPr>
          <w:rFonts w:ascii="Arial" w:hAnsi="Arial" w:cs="Arial"/>
          <w:b/>
        </w:rPr>
      </w:pPr>
    </w:p>
    <w:p w:rsidR="00AB5AE5" w:rsidRDefault="00F553CB" w:rsidP="00F553CB">
      <w:pPr>
        <w:pStyle w:val="ListParagraph"/>
        <w:numPr>
          <w:ilvl w:val="0"/>
          <w:numId w:val="10"/>
        </w:numPr>
        <w:rPr>
          <w:rFonts w:ascii="Arial" w:hAnsi="Arial" w:cs="Arial"/>
        </w:rPr>
      </w:pPr>
      <w:r w:rsidRPr="00F553CB">
        <w:rPr>
          <w:rFonts w:ascii="Arial" w:hAnsi="Arial" w:cs="Arial"/>
        </w:rPr>
        <w:t>Landlord S</w:t>
      </w:r>
      <w:r w:rsidR="00E328B7">
        <w:rPr>
          <w:rFonts w:ascii="Arial" w:hAnsi="Arial" w:cs="Arial"/>
        </w:rPr>
        <w:t>er</w:t>
      </w:r>
      <w:r w:rsidRPr="00F553CB">
        <w:rPr>
          <w:rFonts w:ascii="Arial" w:hAnsi="Arial" w:cs="Arial"/>
        </w:rPr>
        <w:t>v</w:t>
      </w:r>
      <w:r w:rsidR="00E328B7">
        <w:rPr>
          <w:rFonts w:ascii="Arial" w:hAnsi="Arial" w:cs="Arial"/>
        </w:rPr>
        <w:t>i</w:t>
      </w:r>
      <w:r w:rsidRPr="00F553CB">
        <w:rPr>
          <w:rFonts w:ascii="Arial" w:hAnsi="Arial" w:cs="Arial"/>
        </w:rPr>
        <w:t>c</w:t>
      </w:r>
      <w:r w:rsidR="00E328B7">
        <w:rPr>
          <w:rFonts w:ascii="Arial" w:hAnsi="Arial" w:cs="Arial"/>
        </w:rPr>
        <w:t>e</w:t>
      </w:r>
      <w:r w:rsidRPr="00F553CB">
        <w:rPr>
          <w:rFonts w:ascii="Arial" w:hAnsi="Arial" w:cs="Arial"/>
        </w:rPr>
        <w:t>s/Housing General</w:t>
      </w:r>
      <w:r>
        <w:rPr>
          <w:rFonts w:ascii="Arial" w:hAnsi="Arial" w:cs="Arial"/>
        </w:rPr>
        <w:t xml:space="preserve"> – funding provided for </w:t>
      </w:r>
      <w:r w:rsidRPr="00F553CB">
        <w:rPr>
          <w:rFonts w:ascii="Arial" w:hAnsi="Arial" w:cs="Arial"/>
        </w:rPr>
        <w:t>permanent and agency staff to deliver mandatory &amp; discretionary grant schemes &amp; additional assistance.</w:t>
      </w:r>
    </w:p>
    <w:p w:rsidR="00F553CB" w:rsidRDefault="00F553CB" w:rsidP="00F553CB">
      <w:pPr>
        <w:pStyle w:val="ListParagraph"/>
        <w:numPr>
          <w:ilvl w:val="0"/>
          <w:numId w:val="10"/>
        </w:numPr>
        <w:rPr>
          <w:rFonts w:ascii="Arial" w:hAnsi="Arial" w:cs="Arial"/>
        </w:rPr>
      </w:pPr>
      <w:r>
        <w:rPr>
          <w:rFonts w:ascii="Arial" w:hAnsi="Arial" w:cs="Arial"/>
        </w:rPr>
        <w:t>Landlord S</w:t>
      </w:r>
      <w:r w:rsidR="00E328B7">
        <w:rPr>
          <w:rFonts w:ascii="Arial" w:hAnsi="Arial" w:cs="Arial"/>
        </w:rPr>
        <w:t>er</w:t>
      </w:r>
      <w:r>
        <w:rPr>
          <w:rFonts w:ascii="Arial" w:hAnsi="Arial" w:cs="Arial"/>
        </w:rPr>
        <w:t>v</w:t>
      </w:r>
      <w:r w:rsidR="00E328B7">
        <w:rPr>
          <w:rFonts w:ascii="Arial" w:hAnsi="Arial" w:cs="Arial"/>
        </w:rPr>
        <w:t>i</w:t>
      </w:r>
      <w:r>
        <w:rPr>
          <w:rFonts w:ascii="Arial" w:hAnsi="Arial" w:cs="Arial"/>
        </w:rPr>
        <w:t>c</w:t>
      </w:r>
      <w:r w:rsidR="00E328B7">
        <w:rPr>
          <w:rFonts w:ascii="Arial" w:hAnsi="Arial" w:cs="Arial"/>
        </w:rPr>
        <w:t>e</w:t>
      </w:r>
      <w:r>
        <w:rPr>
          <w:rFonts w:ascii="Arial" w:hAnsi="Arial" w:cs="Arial"/>
        </w:rPr>
        <w:t>s/ Repairs – no longer charge for internal works.</w:t>
      </w:r>
    </w:p>
    <w:p w:rsidR="00F553CB" w:rsidRDefault="00F553CB" w:rsidP="00F553CB">
      <w:pPr>
        <w:pStyle w:val="ListParagraph"/>
        <w:numPr>
          <w:ilvl w:val="0"/>
          <w:numId w:val="10"/>
        </w:numPr>
        <w:rPr>
          <w:rFonts w:ascii="Arial" w:hAnsi="Arial" w:cs="Arial"/>
          <w:color w:val="000000" w:themeColor="text1"/>
        </w:rPr>
      </w:pPr>
      <w:r w:rsidRPr="00AD7C83">
        <w:rPr>
          <w:rFonts w:ascii="Arial" w:hAnsi="Arial" w:cs="Arial"/>
          <w:color w:val="000000" w:themeColor="text1"/>
        </w:rPr>
        <w:t xml:space="preserve">Landlord Services/ District heating </w:t>
      </w:r>
      <w:r w:rsidR="00E328B7">
        <w:rPr>
          <w:rFonts w:ascii="Arial" w:hAnsi="Arial" w:cs="Arial"/>
          <w:color w:val="000000" w:themeColor="text1"/>
        </w:rPr>
        <w:t xml:space="preserve">- </w:t>
      </w:r>
      <w:r w:rsidRPr="00AD7C83">
        <w:rPr>
          <w:rFonts w:ascii="Arial" w:hAnsi="Arial" w:cs="Arial"/>
          <w:color w:val="000000" w:themeColor="text1"/>
        </w:rPr>
        <w:t xml:space="preserve">some boiler houses have been demolished resulting </w:t>
      </w:r>
      <w:r>
        <w:rPr>
          <w:rFonts w:ascii="Arial" w:hAnsi="Arial" w:cs="Arial"/>
          <w:color w:val="000000" w:themeColor="text1"/>
        </w:rPr>
        <w:t>in lower income and expenditure.</w:t>
      </w:r>
    </w:p>
    <w:p w:rsidR="00F553CB" w:rsidRDefault="00F553CB" w:rsidP="00F553CB">
      <w:pPr>
        <w:pStyle w:val="ListParagraph"/>
        <w:numPr>
          <w:ilvl w:val="0"/>
          <w:numId w:val="10"/>
        </w:numPr>
        <w:rPr>
          <w:rFonts w:ascii="Arial" w:hAnsi="Arial" w:cs="Arial"/>
        </w:rPr>
      </w:pPr>
      <w:r>
        <w:rPr>
          <w:rFonts w:ascii="Arial" w:hAnsi="Arial" w:cs="Arial"/>
        </w:rPr>
        <w:t xml:space="preserve">Housing Needs/ Solutions - </w:t>
      </w:r>
      <w:r w:rsidRPr="00F553CB">
        <w:rPr>
          <w:rFonts w:ascii="Arial" w:hAnsi="Arial" w:cs="Arial"/>
        </w:rPr>
        <w:t>Additional Homeless Prevention Grant including Flexible Homelessness Support. This additional grant was not expected but MDC has received this in 21/22.</w:t>
      </w:r>
    </w:p>
    <w:p w:rsidR="00F553CB" w:rsidRPr="00F553CB" w:rsidRDefault="00F553CB" w:rsidP="00F553CB">
      <w:pPr>
        <w:pStyle w:val="ListParagraph"/>
        <w:numPr>
          <w:ilvl w:val="0"/>
          <w:numId w:val="10"/>
        </w:numPr>
        <w:rPr>
          <w:rFonts w:ascii="Arial" w:hAnsi="Arial" w:cs="Arial"/>
          <w:color w:val="000000" w:themeColor="text1"/>
        </w:rPr>
      </w:pPr>
      <w:r w:rsidRPr="00E35AF1">
        <w:rPr>
          <w:rFonts w:ascii="Arial" w:hAnsi="Arial" w:cs="Arial"/>
          <w:color w:val="000000" w:themeColor="text1"/>
        </w:rPr>
        <w:t>Temporary Accommodation</w:t>
      </w:r>
      <w:r w:rsidRPr="00E35AF1">
        <w:rPr>
          <w:rFonts w:ascii="Arial" w:hAnsi="Arial" w:cs="Arial"/>
        </w:rPr>
        <w:t>/ Tideswell court - vacant units due to Covid</w:t>
      </w:r>
    </w:p>
    <w:p w:rsidR="00F553CB" w:rsidRDefault="00F553CB" w:rsidP="00F553CB">
      <w:pPr>
        <w:pStyle w:val="ListParagraph"/>
        <w:numPr>
          <w:ilvl w:val="0"/>
          <w:numId w:val="10"/>
        </w:numPr>
        <w:rPr>
          <w:rFonts w:ascii="Arial" w:hAnsi="Arial" w:cs="Arial"/>
          <w:color w:val="000000" w:themeColor="text1"/>
        </w:rPr>
      </w:pPr>
      <w:r>
        <w:rPr>
          <w:rFonts w:ascii="Arial" w:hAnsi="Arial" w:cs="Arial"/>
          <w:color w:val="000000" w:themeColor="text1"/>
        </w:rPr>
        <w:t xml:space="preserve">Housing Allocations NNDR - </w:t>
      </w:r>
      <w:r w:rsidRPr="00F553CB">
        <w:rPr>
          <w:rFonts w:ascii="Arial" w:hAnsi="Arial" w:cs="Arial"/>
          <w:color w:val="000000" w:themeColor="text1"/>
        </w:rPr>
        <w:t>Recalculated Cost of MDC's charge for NNDR in void properties. Some of these have been charged up to 300% above the normal annual cost</w:t>
      </w:r>
      <w:r w:rsidR="00E26C55">
        <w:rPr>
          <w:rFonts w:ascii="Arial" w:hAnsi="Arial" w:cs="Arial"/>
          <w:color w:val="000000" w:themeColor="text1"/>
        </w:rPr>
        <w:t>.</w:t>
      </w:r>
    </w:p>
    <w:p w:rsidR="00E26C55" w:rsidRPr="00E26C55" w:rsidRDefault="00E26C55" w:rsidP="00F553CB">
      <w:pPr>
        <w:pStyle w:val="ListParagraph"/>
        <w:numPr>
          <w:ilvl w:val="0"/>
          <w:numId w:val="10"/>
        </w:numPr>
        <w:rPr>
          <w:rFonts w:ascii="Arial" w:hAnsi="Arial" w:cs="Arial"/>
          <w:color w:val="000000" w:themeColor="text1"/>
        </w:rPr>
      </w:pPr>
      <w:r>
        <w:rPr>
          <w:rFonts w:ascii="Arial" w:hAnsi="Arial" w:cs="Arial"/>
          <w:color w:val="000000" w:themeColor="text1"/>
        </w:rPr>
        <w:t xml:space="preserve">Bad Debt provision - </w:t>
      </w:r>
      <w:r>
        <w:rPr>
          <w:rFonts w:ascii="Arial" w:hAnsi="Arial" w:cs="Arial"/>
        </w:rPr>
        <w:t>reduction in year provision.</w:t>
      </w:r>
    </w:p>
    <w:p w:rsidR="00E26C55" w:rsidRDefault="00E26C55" w:rsidP="00E26C55">
      <w:pPr>
        <w:pStyle w:val="ListParagraph"/>
        <w:numPr>
          <w:ilvl w:val="0"/>
          <w:numId w:val="10"/>
        </w:numPr>
        <w:rPr>
          <w:rFonts w:ascii="Arial" w:hAnsi="Arial" w:cs="Arial"/>
          <w:color w:val="000000" w:themeColor="text1"/>
        </w:rPr>
      </w:pPr>
      <w:r w:rsidRPr="00AD7C83">
        <w:rPr>
          <w:rFonts w:ascii="Arial" w:hAnsi="Arial" w:cs="Arial"/>
          <w:color w:val="000000" w:themeColor="text1"/>
        </w:rPr>
        <w:t>Dwelling Rents</w:t>
      </w:r>
      <w:r>
        <w:rPr>
          <w:rFonts w:ascii="Arial" w:hAnsi="Arial" w:cs="Arial"/>
          <w:color w:val="000000" w:themeColor="text1"/>
        </w:rPr>
        <w:t xml:space="preserve"> –</w:t>
      </w:r>
      <w:r w:rsidRPr="00AD7C83">
        <w:rPr>
          <w:rFonts w:ascii="Arial" w:hAnsi="Arial" w:cs="Arial"/>
          <w:color w:val="000000" w:themeColor="text1"/>
        </w:rPr>
        <w:t xml:space="preserve"> </w:t>
      </w:r>
      <w:r>
        <w:rPr>
          <w:rFonts w:ascii="Arial" w:hAnsi="Arial" w:cs="Arial"/>
          <w:color w:val="000000" w:themeColor="text1"/>
        </w:rPr>
        <w:t xml:space="preserve">Void properties and right to buys have reduced the income expected. </w:t>
      </w:r>
      <w:r w:rsidRPr="00AD7C83">
        <w:rPr>
          <w:rFonts w:ascii="Arial" w:hAnsi="Arial" w:cs="Arial"/>
          <w:color w:val="000000" w:themeColor="text1"/>
        </w:rPr>
        <w:t>Actions are being taken by Housi</w:t>
      </w:r>
      <w:r>
        <w:rPr>
          <w:rFonts w:ascii="Arial" w:hAnsi="Arial" w:cs="Arial"/>
          <w:color w:val="000000" w:themeColor="text1"/>
        </w:rPr>
        <w:t>ng to reduce the level of voids.</w:t>
      </w:r>
    </w:p>
    <w:p w:rsidR="00057A13" w:rsidRPr="00CA1B2A" w:rsidRDefault="00057A13" w:rsidP="00962379">
      <w:pPr>
        <w:pStyle w:val="ListParagraph"/>
        <w:numPr>
          <w:ilvl w:val="0"/>
          <w:numId w:val="7"/>
        </w:numPr>
        <w:rPr>
          <w:rFonts w:ascii="Arial" w:hAnsi="Arial" w:cs="Arial"/>
        </w:rPr>
      </w:pPr>
      <w:r w:rsidRPr="00CA1B2A">
        <w:rPr>
          <w:rFonts w:ascii="Arial" w:hAnsi="Arial" w:cs="Arial"/>
          <w:color w:val="000000" w:themeColor="text1"/>
        </w:rPr>
        <w:t>Item 8 Debit –</w:t>
      </w:r>
      <w:r w:rsidR="00962379" w:rsidRPr="00CA1B2A">
        <w:rPr>
          <w:rFonts w:ascii="Arial" w:hAnsi="Arial" w:cs="Arial"/>
        </w:rPr>
        <w:t xml:space="preserve"> Change in the rate used to calculate interest charges to the HRA.</w:t>
      </w:r>
    </w:p>
    <w:p w:rsidR="00057A13" w:rsidRPr="00CA1B2A" w:rsidRDefault="00057A13" w:rsidP="00F553CB">
      <w:pPr>
        <w:pStyle w:val="ListParagraph"/>
        <w:numPr>
          <w:ilvl w:val="0"/>
          <w:numId w:val="10"/>
        </w:numPr>
        <w:rPr>
          <w:rFonts w:ascii="Arial" w:hAnsi="Arial" w:cs="Arial"/>
          <w:color w:val="000000" w:themeColor="text1"/>
        </w:rPr>
      </w:pPr>
      <w:r w:rsidRPr="00CA1B2A">
        <w:rPr>
          <w:rFonts w:ascii="Arial" w:hAnsi="Arial" w:cs="Arial"/>
          <w:color w:val="000000" w:themeColor="text1"/>
        </w:rPr>
        <w:t xml:space="preserve">Item 8 Credit – </w:t>
      </w:r>
      <w:r w:rsidR="00962379" w:rsidRPr="00CA1B2A">
        <w:rPr>
          <w:rFonts w:ascii="Arial" w:hAnsi="Arial" w:cs="Arial"/>
        </w:rPr>
        <w:t>Interest paid to the HRA was higher than expected due to increased HRA balances and an increase in interest rates</w:t>
      </w:r>
    </w:p>
    <w:p w:rsidR="00057A13" w:rsidRPr="00FB4BD7" w:rsidRDefault="00057A13" w:rsidP="00057A13">
      <w:pPr>
        <w:pStyle w:val="ListParagraph"/>
        <w:numPr>
          <w:ilvl w:val="0"/>
          <w:numId w:val="10"/>
        </w:numPr>
        <w:rPr>
          <w:rFonts w:ascii="Arial" w:hAnsi="Arial" w:cs="Arial"/>
          <w:color w:val="000000" w:themeColor="text1"/>
        </w:rPr>
      </w:pPr>
      <w:r w:rsidRPr="00FB4BD7">
        <w:rPr>
          <w:rFonts w:ascii="Arial" w:hAnsi="Arial" w:cs="Arial"/>
          <w:color w:val="000000" w:themeColor="text1"/>
        </w:rPr>
        <w:t xml:space="preserve">MRP – </w:t>
      </w:r>
      <w:r w:rsidR="00CA1B2A" w:rsidRPr="00FB4BD7">
        <w:rPr>
          <w:rFonts w:ascii="Arial" w:hAnsi="Arial" w:cs="Arial"/>
          <w:color w:val="000000" w:themeColor="text1"/>
        </w:rPr>
        <w:t>This is offset by an appropriation from the Loan reserve.</w:t>
      </w:r>
    </w:p>
    <w:p w:rsidR="00057A13" w:rsidRPr="00FB4BD7" w:rsidRDefault="00057A13" w:rsidP="00057A13">
      <w:pPr>
        <w:pStyle w:val="ListParagraph"/>
        <w:numPr>
          <w:ilvl w:val="0"/>
          <w:numId w:val="10"/>
        </w:numPr>
        <w:rPr>
          <w:rFonts w:ascii="Arial" w:hAnsi="Arial" w:cs="Arial"/>
          <w:color w:val="000000" w:themeColor="text1"/>
        </w:rPr>
      </w:pPr>
      <w:r w:rsidRPr="00FB4BD7">
        <w:rPr>
          <w:rFonts w:ascii="Arial" w:hAnsi="Arial" w:cs="Arial"/>
          <w:color w:val="000000" w:themeColor="text1"/>
        </w:rPr>
        <w:t>Capital Expenditure –</w:t>
      </w:r>
      <w:r w:rsidR="00962379" w:rsidRPr="00FB4BD7">
        <w:rPr>
          <w:rFonts w:ascii="Arial" w:hAnsi="Arial" w:cs="Arial"/>
          <w:color w:val="000000" w:themeColor="text1"/>
        </w:rPr>
        <w:t xml:space="preserve"> </w:t>
      </w:r>
      <w:r w:rsidR="00FB4BD7" w:rsidRPr="00FB4BD7">
        <w:rPr>
          <w:rFonts w:ascii="Arial" w:hAnsi="Arial" w:cs="Arial"/>
          <w:color w:val="000000" w:themeColor="text1"/>
        </w:rPr>
        <w:t>This is the planned contribution to the HRA new build reserve, this underspend is offset by a £1,111K contribution to the HRA new build reserve and overspends in other areas.</w:t>
      </w:r>
    </w:p>
    <w:p w:rsidR="00057A13" w:rsidRDefault="00057A13" w:rsidP="00057A13">
      <w:pPr>
        <w:pStyle w:val="ListParagraph"/>
        <w:numPr>
          <w:ilvl w:val="0"/>
          <w:numId w:val="10"/>
        </w:numPr>
        <w:rPr>
          <w:rFonts w:ascii="Arial" w:hAnsi="Arial" w:cs="Arial"/>
          <w:color w:val="000000" w:themeColor="text1"/>
        </w:rPr>
      </w:pPr>
      <w:r w:rsidRPr="00057A13">
        <w:rPr>
          <w:rFonts w:ascii="Arial" w:hAnsi="Arial" w:cs="Arial"/>
          <w:color w:val="000000" w:themeColor="text1"/>
        </w:rPr>
        <w:t>Service Reviews – transformation savings not made in year.</w:t>
      </w:r>
    </w:p>
    <w:p w:rsidR="00057A13" w:rsidRPr="0065689E" w:rsidRDefault="00057A13" w:rsidP="0065689E">
      <w:pPr>
        <w:ind w:left="360"/>
        <w:rPr>
          <w:rFonts w:ascii="Arial" w:hAnsi="Arial" w:cs="Arial"/>
          <w:color w:val="000000" w:themeColor="text1"/>
          <w:highlight w:val="yellow"/>
        </w:rPr>
      </w:pPr>
    </w:p>
    <w:p w:rsidR="00F553CB" w:rsidRPr="00F553CB" w:rsidRDefault="00F553CB" w:rsidP="00F553CB">
      <w:pPr>
        <w:rPr>
          <w:rFonts w:ascii="Arial" w:hAnsi="Arial" w:cs="Arial"/>
          <w:b/>
        </w:rPr>
      </w:pPr>
    </w:p>
    <w:p w:rsidR="00E35AF1" w:rsidRDefault="00E35AF1" w:rsidP="002D09A6">
      <w:pPr>
        <w:rPr>
          <w:rFonts w:ascii="Arial" w:hAnsi="Arial" w:cs="Arial"/>
          <w:b/>
        </w:rPr>
      </w:pPr>
    </w:p>
    <w:p w:rsidR="008C38C4" w:rsidRDefault="008C38C4" w:rsidP="002D09A6">
      <w:pPr>
        <w:rPr>
          <w:rFonts w:ascii="Arial" w:hAnsi="Arial" w:cs="Arial"/>
          <w:b/>
        </w:rPr>
      </w:pPr>
    </w:p>
    <w:p w:rsidR="002F0FF1" w:rsidRDefault="002F0FF1" w:rsidP="002D09A6">
      <w:pPr>
        <w:rPr>
          <w:rFonts w:ascii="Arial" w:hAnsi="Arial" w:cs="Arial"/>
          <w:b/>
        </w:rPr>
      </w:pPr>
    </w:p>
    <w:p w:rsidR="008C38C4" w:rsidRDefault="008C38C4" w:rsidP="002D09A6">
      <w:pPr>
        <w:rPr>
          <w:rFonts w:ascii="Arial" w:hAnsi="Arial" w:cs="Arial"/>
          <w:b/>
        </w:rPr>
      </w:pPr>
    </w:p>
    <w:p w:rsidR="008C38C4" w:rsidRDefault="008C38C4" w:rsidP="002D09A6">
      <w:pPr>
        <w:rPr>
          <w:rFonts w:ascii="Arial" w:hAnsi="Arial" w:cs="Arial"/>
          <w:b/>
        </w:rPr>
      </w:pPr>
    </w:p>
    <w:p w:rsidR="002F0FF1" w:rsidRDefault="002F0FF1" w:rsidP="002D09A6">
      <w:pPr>
        <w:rPr>
          <w:rFonts w:ascii="Arial" w:hAnsi="Arial" w:cs="Arial"/>
          <w:b/>
        </w:rPr>
      </w:pPr>
    </w:p>
    <w:p w:rsidR="00D67EF2" w:rsidRDefault="00D67EF2" w:rsidP="002D09A6">
      <w:pPr>
        <w:rPr>
          <w:rFonts w:ascii="Arial" w:hAnsi="Arial" w:cs="Arial"/>
          <w:b/>
        </w:rPr>
      </w:pPr>
    </w:p>
    <w:p w:rsidR="008C38C4" w:rsidRDefault="008C38C4" w:rsidP="00F553CB">
      <w:pPr>
        <w:spacing w:after="200" w:line="276" w:lineRule="auto"/>
        <w:rPr>
          <w:rFonts w:ascii="Arial" w:hAnsi="Arial" w:cs="Arial"/>
          <w:b/>
        </w:rPr>
      </w:pPr>
    </w:p>
    <w:p w:rsidR="002D09A6" w:rsidRDefault="002D09A6" w:rsidP="002D09A6">
      <w:pPr>
        <w:rPr>
          <w:rFonts w:ascii="Arial" w:hAnsi="Arial" w:cs="Arial"/>
          <w:b/>
        </w:rPr>
      </w:pPr>
    </w:p>
    <w:p w:rsidR="002D09A6" w:rsidRDefault="002D09A6" w:rsidP="002D09A6">
      <w:pPr>
        <w:rPr>
          <w:rFonts w:ascii="Arial" w:hAnsi="Arial" w:cs="Arial"/>
          <w:b/>
        </w:rPr>
      </w:pPr>
    </w:p>
    <w:p w:rsidR="00714A9B" w:rsidRDefault="00714A9B" w:rsidP="00CA746D">
      <w:pPr>
        <w:spacing w:after="200" w:line="276" w:lineRule="auto"/>
        <w:rPr>
          <w:rFonts w:ascii="Arial" w:hAnsi="Arial" w:cs="Arial"/>
          <w:b/>
        </w:rPr>
      </w:pPr>
    </w:p>
    <w:p w:rsidR="00EE4F01" w:rsidRDefault="00EE4F01" w:rsidP="00CA746D">
      <w:pPr>
        <w:spacing w:after="200" w:line="276" w:lineRule="auto"/>
        <w:rPr>
          <w:rFonts w:ascii="Arial" w:hAnsi="Arial" w:cs="Arial"/>
          <w:b/>
        </w:rPr>
      </w:pPr>
    </w:p>
    <w:p w:rsidR="00610398" w:rsidRDefault="00610398" w:rsidP="00CA746D">
      <w:pPr>
        <w:spacing w:after="200" w:line="276" w:lineRule="auto"/>
        <w:rPr>
          <w:rFonts w:ascii="Arial" w:hAnsi="Arial" w:cs="Arial"/>
          <w:b/>
        </w:rPr>
      </w:pPr>
    </w:p>
    <w:p w:rsidR="00610398" w:rsidRDefault="00610398" w:rsidP="00CA746D">
      <w:pPr>
        <w:spacing w:after="200" w:line="276" w:lineRule="auto"/>
        <w:rPr>
          <w:rFonts w:ascii="Arial" w:hAnsi="Arial" w:cs="Arial"/>
          <w:b/>
        </w:rPr>
      </w:pPr>
    </w:p>
    <w:p w:rsidR="00EE4F01" w:rsidRDefault="00EE4F01" w:rsidP="00CA746D">
      <w:pPr>
        <w:spacing w:after="200" w:line="276" w:lineRule="auto"/>
        <w:rPr>
          <w:rFonts w:ascii="Arial" w:hAnsi="Arial" w:cs="Arial"/>
          <w:b/>
        </w:rPr>
      </w:pPr>
    </w:p>
    <w:p w:rsidR="00E328B7" w:rsidRDefault="00E328B7" w:rsidP="00CA746D">
      <w:pPr>
        <w:spacing w:after="200" w:line="276" w:lineRule="auto"/>
        <w:rPr>
          <w:rFonts w:ascii="Arial" w:hAnsi="Arial" w:cs="Arial"/>
          <w:b/>
        </w:rPr>
      </w:pPr>
    </w:p>
    <w:p w:rsidR="00CA746D" w:rsidRDefault="0046162B">
      <w:pPr>
        <w:spacing w:after="200" w:line="276" w:lineRule="auto"/>
        <w:rPr>
          <w:rFonts w:ascii="Arial" w:hAnsi="Arial" w:cs="Arial"/>
          <w:b/>
        </w:rPr>
      </w:pPr>
      <w:r w:rsidRPr="00E50EEC">
        <w:rPr>
          <w:rFonts w:ascii="Arial" w:hAnsi="Arial" w:cs="Arial"/>
          <w:b/>
        </w:rPr>
        <w:t xml:space="preserve">Appendix </w:t>
      </w:r>
      <w:r w:rsidR="00D13EDC">
        <w:rPr>
          <w:rFonts w:ascii="Arial" w:hAnsi="Arial" w:cs="Arial"/>
          <w:b/>
        </w:rPr>
        <w:t>3</w:t>
      </w:r>
      <w:r w:rsidRPr="00E50EEC">
        <w:rPr>
          <w:rFonts w:ascii="Arial" w:hAnsi="Arial" w:cs="Arial"/>
          <w:b/>
        </w:rPr>
        <w:t xml:space="preserve"> – </w:t>
      </w:r>
      <w:r>
        <w:rPr>
          <w:rFonts w:ascii="Arial" w:hAnsi="Arial" w:cs="Arial"/>
          <w:b/>
        </w:rPr>
        <w:t>Capital Programme</w:t>
      </w:r>
      <w:r w:rsidRPr="00E50EEC">
        <w:rPr>
          <w:rFonts w:ascii="Arial" w:hAnsi="Arial" w:cs="Arial"/>
          <w:b/>
        </w:rPr>
        <w:t xml:space="preserve"> – </w:t>
      </w:r>
      <w:r>
        <w:rPr>
          <w:rFonts w:ascii="Arial" w:hAnsi="Arial" w:cs="Arial"/>
          <w:b/>
        </w:rPr>
        <w:t>General Fund</w:t>
      </w:r>
      <w:r w:rsidRPr="00E50EEC">
        <w:rPr>
          <w:rFonts w:ascii="Arial" w:hAnsi="Arial" w:cs="Arial"/>
          <w:b/>
        </w:rPr>
        <w:t xml:space="preserve"> – Significant Variances</w:t>
      </w:r>
    </w:p>
    <w:p w:rsidR="00D56178" w:rsidRDefault="00EE4F01" w:rsidP="002D09A6">
      <w:pPr>
        <w:rPr>
          <w:rFonts w:ascii="Arial" w:hAnsi="Arial" w:cs="Arial"/>
          <w:b/>
        </w:rPr>
      </w:pPr>
      <w:r w:rsidRPr="00EE4F01">
        <w:rPr>
          <w:noProof/>
        </w:rPr>
        <w:drawing>
          <wp:inline distT="0" distB="0" distL="0" distR="0">
            <wp:extent cx="5731510" cy="1417113"/>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417113"/>
                    </a:xfrm>
                    <a:prstGeom prst="rect">
                      <a:avLst/>
                    </a:prstGeom>
                    <a:noFill/>
                    <a:ln>
                      <a:noFill/>
                    </a:ln>
                  </pic:spPr>
                </pic:pic>
              </a:graphicData>
            </a:graphic>
          </wp:inline>
        </w:drawing>
      </w: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610398" w:rsidRDefault="00610398"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r w:rsidRPr="00714A9B">
        <w:rPr>
          <w:rFonts w:ascii="Arial" w:hAnsi="Arial" w:cs="Arial"/>
          <w:b/>
        </w:rPr>
        <w:t>Appendix 4 – Unspent Budgets to be carried forward to the 2022/23 Capital Programme</w:t>
      </w:r>
    </w:p>
    <w:p w:rsidR="00714A9B" w:rsidRDefault="00714A9B" w:rsidP="002E0238">
      <w:pPr>
        <w:spacing w:after="200" w:line="276" w:lineRule="auto"/>
        <w:rPr>
          <w:rFonts w:ascii="Arial" w:hAnsi="Arial" w:cs="Arial"/>
          <w:b/>
        </w:rPr>
      </w:pPr>
      <w:r w:rsidRPr="00714A9B">
        <w:rPr>
          <w:rFonts w:ascii="Arial" w:hAnsi="Arial" w:cs="Arial"/>
          <w:b/>
        </w:rPr>
        <w:t>General Fund</w:t>
      </w: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r w:rsidRPr="00714A9B">
        <w:rPr>
          <w:noProof/>
        </w:rPr>
        <w:drawing>
          <wp:inline distT="0" distB="0" distL="0" distR="0">
            <wp:extent cx="5731510" cy="6951730"/>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951730"/>
                    </a:xfrm>
                    <a:prstGeom prst="rect">
                      <a:avLst/>
                    </a:prstGeom>
                    <a:noFill/>
                    <a:ln>
                      <a:noFill/>
                    </a:ln>
                  </pic:spPr>
                </pic:pic>
              </a:graphicData>
            </a:graphic>
          </wp:inline>
        </w:drawing>
      </w:r>
    </w:p>
    <w:p w:rsidR="00714A9B" w:rsidRDefault="00714A9B" w:rsidP="002E0238">
      <w:pPr>
        <w:spacing w:after="200" w:line="276" w:lineRule="auto"/>
        <w:rPr>
          <w:rFonts w:ascii="Arial" w:hAnsi="Arial" w:cs="Arial"/>
          <w:b/>
        </w:rPr>
      </w:pPr>
    </w:p>
    <w:p w:rsidR="0046162B" w:rsidRDefault="00DF62DE" w:rsidP="002E0238">
      <w:pPr>
        <w:spacing w:after="200" w:line="276" w:lineRule="auto"/>
        <w:rPr>
          <w:rFonts w:ascii="Arial" w:hAnsi="Arial" w:cs="Arial"/>
          <w:b/>
        </w:rPr>
      </w:pPr>
      <w:r w:rsidRPr="00DF62DE">
        <w:rPr>
          <w:noProof/>
        </w:rPr>
        <w:drawing>
          <wp:inline distT="0" distB="0" distL="0" distR="0">
            <wp:extent cx="5731510" cy="897191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8971919"/>
                    </a:xfrm>
                    <a:prstGeom prst="rect">
                      <a:avLst/>
                    </a:prstGeom>
                    <a:noFill/>
                    <a:ln>
                      <a:noFill/>
                    </a:ln>
                  </pic:spPr>
                </pic:pic>
              </a:graphicData>
            </a:graphic>
          </wp:inline>
        </w:drawing>
      </w: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r w:rsidRPr="00714A9B">
        <w:rPr>
          <w:noProof/>
        </w:rPr>
        <w:drawing>
          <wp:inline distT="0" distB="0" distL="0" distR="0">
            <wp:extent cx="5731510" cy="830932"/>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830932"/>
                    </a:xfrm>
                    <a:prstGeom prst="rect">
                      <a:avLst/>
                    </a:prstGeom>
                    <a:noFill/>
                    <a:ln>
                      <a:noFill/>
                    </a:ln>
                  </pic:spPr>
                </pic:pic>
              </a:graphicData>
            </a:graphic>
          </wp:inline>
        </w:drawing>
      </w: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r w:rsidRPr="00714A9B">
        <w:rPr>
          <w:rFonts w:ascii="Arial" w:hAnsi="Arial" w:cs="Arial"/>
          <w:b/>
        </w:rPr>
        <w:t>Income Budgets to be carried forward to the 2021/22 Capital Programme</w:t>
      </w:r>
    </w:p>
    <w:p w:rsidR="00714A9B" w:rsidRDefault="00714A9B" w:rsidP="002E0238">
      <w:pPr>
        <w:spacing w:after="200" w:line="276" w:lineRule="auto"/>
        <w:rPr>
          <w:rFonts w:ascii="Arial" w:hAnsi="Arial" w:cs="Arial"/>
          <w:b/>
        </w:rPr>
      </w:pPr>
    </w:p>
    <w:p w:rsidR="00714A9B" w:rsidRDefault="00714A9B" w:rsidP="002E0238">
      <w:pPr>
        <w:spacing w:after="200" w:line="276" w:lineRule="auto"/>
        <w:rPr>
          <w:rFonts w:ascii="Arial" w:hAnsi="Arial" w:cs="Arial"/>
          <w:b/>
        </w:rPr>
      </w:pPr>
      <w:r w:rsidRPr="00714A9B">
        <w:rPr>
          <w:noProof/>
        </w:rPr>
        <w:drawing>
          <wp:inline distT="0" distB="0" distL="0" distR="0">
            <wp:extent cx="5731510" cy="1492878"/>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1492878"/>
                    </a:xfrm>
                    <a:prstGeom prst="rect">
                      <a:avLst/>
                    </a:prstGeom>
                    <a:noFill/>
                    <a:ln>
                      <a:noFill/>
                    </a:ln>
                  </pic:spPr>
                </pic:pic>
              </a:graphicData>
            </a:graphic>
          </wp:inline>
        </w:drawing>
      </w: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p>
    <w:p w:rsidR="00EE4F01" w:rsidRDefault="00EE4F01" w:rsidP="002E0238">
      <w:pPr>
        <w:spacing w:after="200" w:line="276" w:lineRule="auto"/>
        <w:rPr>
          <w:rFonts w:ascii="Arial" w:hAnsi="Arial" w:cs="Arial"/>
          <w:b/>
        </w:rPr>
      </w:pPr>
      <w:r w:rsidRPr="00EE4F01">
        <w:rPr>
          <w:rFonts w:ascii="Arial" w:hAnsi="Arial" w:cs="Arial"/>
          <w:b/>
        </w:rPr>
        <w:t>Appendix 6 – Unspent Budgets to be carried forward to the 2022/23 Capital Programme</w:t>
      </w:r>
    </w:p>
    <w:p w:rsidR="00EE4F01" w:rsidRPr="00714A9B" w:rsidRDefault="00EE4F01" w:rsidP="002E0238">
      <w:pPr>
        <w:spacing w:after="200" w:line="276" w:lineRule="auto"/>
        <w:rPr>
          <w:rFonts w:ascii="Arial" w:hAnsi="Arial" w:cs="Arial"/>
          <w:b/>
        </w:rPr>
        <w:sectPr w:rsidR="00EE4F01" w:rsidRPr="00714A9B" w:rsidSect="005E39D1">
          <w:pgSz w:w="11906" w:h="16838"/>
          <w:pgMar w:top="1440" w:right="1440" w:bottom="1440" w:left="1440" w:header="709" w:footer="709" w:gutter="0"/>
          <w:cols w:space="708"/>
          <w:docGrid w:linePitch="360"/>
        </w:sectPr>
      </w:pPr>
      <w:r w:rsidRPr="00EE4F01">
        <w:rPr>
          <w:noProof/>
        </w:rPr>
        <w:drawing>
          <wp:anchor distT="0" distB="0" distL="114300" distR="114300" simplePos="0" relativeHeight="251658240" behindDoc="0" locked="0" layoutInCell="1" allowOverlap="1">
            <wp:simplePos x="0" y="0"/>
            <wp:positionH relativeFrom="margin">
              <wp:posOffset>-635</wp:posOffset>
            </wp:positionH>
            <wp:positionV relativeFrom="paragraph">
              <wp:posOffset>400050</wp:posOffset>
            </wp:positionV>
            <wp:extent cx="5621020" cy="5406390"/>
            <wp:effectExtent l="0" t="0" r="0"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21020" cy="540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4F01">
        <w:rPr>
          <w:rFonts w:ascii="Arial" w:hAnsi="Arial" w:cs="Arial"/>
          <w:b/>
        </w:rPr>
        <w:t>Housing Revenue Account – Head of Housing</w:t>
      </w:r>
    </w:p>
    <w:p w:rsidR="00D97436" w:rsidRDefault="00D97436" w:rsidP="00381A07">
      <w:pPr>
        <w:rPr>
          <w:rFonts w:ascii="Arial" w:hAnsi="Arial" w:cs="Arial"/>
        </w:rPr>
      </w:pPr>
    </w:p>
    <w:p w:rsidR="00EE4F01" w:rsidRDefault="00EE4F01" w:rsidP="00381A07">
      <w:pPr>
        <w:rPr>
          <w:rFonts w:ascii="Arial" w:hAnsi="Arial" w:cs="Arial"/>
        </w:rPr>
      </w:pPr>
    </w:p>
    <w:p w:rsidR="00EE4F01" w:rsidRDefault="00EE4F01" w:rsidP="00381A07">
      <w:pPr>
        <w:rPr>
          <w:rFonts w:ascii="Arial" w:hAnsi="Arial" w:cs="Arial"/>
        </w:rPr>
      </w:pPr>
      <w:r w:rsidRPr="00EE4F01">
        <w:rPr>
          <w:noProof/>
        </w:rPr>
        <w:drawing>
          <wp:inline distT="0" distB="0" distL="0" distR="0">
            <wp:extent cx="5731510" cy="5847685"/>
            <wp:effectExtent l="0" t="0" r="254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5847685"/>
                    </a:xfrm>
                    <a:prstGeom prst="rect">
                      <a:avLst/>
                    </a:prstGeom>
                    <a:noFill/>
                    <a:ln>
                      <a:noFill/>
                    </a:ln>
                  </pic:spPr>
                </pic:pic>
              </a:graphicData>
            </a:graphic>
          </wp:inline>
        </w:drawing>
      </w:r>
    </w:p>
    <w:sectPr w:rsidR="00EE4F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09A" w:rsidRDefault="00BE709A" w:rsidP="00381A07">
      <w:r>
        <w:separator/>
      </w:r>
    </w:p>
  </w:endnote>
  <w:endnote w:type="continuationSeparator" w:id="0">
    <w:p w:rsidR="00BE709A" w:rsidRDefault="00BE709A" w:rsidP="0038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09A" w:rsidRDefault="00BE709A" w:rsidP="00381A07">
      <w:r>
        <w:separator/>
      </w:r>
    </w:p>
  </w:footnote>
  <w:footnote w:type="continuationSeparator" w:id="0">
    <w:p w:rsidR="00BE709A" w:rsidRDefault="00BE709A" w:rsidP="0038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79E"/>
    <w:multiLevelType w:val="hybridMultilevel"/>
    <w:tmpl w:val="5160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0846"/>
    <w:multiLevelType w:val="hybridMultilevel"/>
    <w:tmpl w:val="27C8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614FA"/>
    <w:multiLevelType w:val="hybridMultilevel"/>
    <w:tmpl w:val="BB44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942D7"/>
    <w:multiLevelType w:val="hybridMultilevel"/>
    <w:tmpl w:val="E822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A4B45"/>
    <w:multiLevelType w:val="hybridMultilevel"/>
    <w:tmpl w:val="AB9C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E6DA8"/>
    <w:multiLevelType w:val="hybridMultilevel"/>
    <w:tmpl w:val="87820B6A"/>
    <w:lvl w:ilvl="0" w:tplc="FD5EA7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7FE1ADA"/>
    <w:multiLevelType w:val="hybridMultilevel"/>
    <w:tmpl w:val="8F22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914FC"/>
    <w:multiLevelType w:val="hybridMultilevel"/>
    <w:tmpl w:val="34A6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17DB3"/>
    <w:multiLevelType w:val="hybridMultilevel"/>
    <w:tmpl w:val="C6543AE2"/>
    <w:lvl w:ilvl="0" w:tplc="4E6C01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370755"/>
    <w:multiLevelType w:val="hybridMultilevel"/>
    <w:tmpl w:val="FD80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0"/>
  </w:num>
  <w:num w:numId="6">
    <w:abstractNumId w:val="9"/>
  </w:num>
  <w:num w:numId="7">
    <w:abstractNumId w:val="7"/>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E6"/>
    <w:rsid w:val="00001427"/>
    <w:rsid w:val="00013EF9"/>
    <w:rsid w:val="00017F0B"/>
    <w:rsid w:val="000242E3"/>
    <w:rsid w:val="00025ABD"/>
    <w:rsid w:val="000373EA"/>
    <w:rsid w:val="00052C3F"/>
    <w:rsid w:val="0005463E"/>
    <w:rsid w:val="00057173"/>
    <w:rsid w:val="00057A13"/>
    <w:rsid w:val="0006235B"/>
    <w:rsid w:val="00064A55"/>
    <w:rsid w:val="000677A5"/>
    <w:rsid w:val="000939A7"/>
    <w:rsid w:val="000977E5"/>
    <w:rsid w:val="000B1F23"/>
    <w:rsid w:val="000C4067"/>
    <w:rsid w:val="000C6A2D"/>
    <w:rsid w:val="000E5748"/>
    <w:rsid w:val="000F11FB"/>
    <w:rsid w:val="000F5DC0"/>
    <w:rsid w:val="00100CB3"/>
    <w:rsid w:val="001037DD"/>
    <w:rsid w:val="00120EAE"/>
    <w:rsid w:val="001255D0"/>
    <w:rsid w:val="001412E4"/>
    <w:rsid w:val="00141B77"/>
    <w:rsid w:val="00143DB0"/>
    <w:rsid w:val="00144C3D"/>
    <w:rsid w:val="00161679"/>
    <w:rsid w:val="001620C1"/>
    <w:rsid w:val="0016419E"/>
    <w:rsid w:val="0016717D"/>
    <w:rsid w:val="00181E13"/>
    <w:rsid w:val="001B7682"/>
    <w:rsid w:val="001D070A"/>
    <w:rsid w:val="001F39A8"/>
    <w:rsid w:val="001F51D0"/>
    <w:rsid w:val="002025A7"/>
    <w:rsid w:val="002029A3"/>
    <w:rsid w:val="00217CFB"/>
    <w:rsid w:val="00231173"/>
    <w:rsid w:val="00240A95"/>
    <w:rsid w:val="00252A41"/>
    <w:rsid w:val="002536B8"/>
    <w:rsid w:val="002B0D55"/>
    <w:rsid w:val="002B28D5"/>
    <w:rsid w:val="002C4414"/>
    <w:rsid w:val="002D09A6"/>
    <w:rsid w:val="002E0238"/>
    <w:rsid w:val="002E069C"/>
    <w:rsid w:val="002E7AFD"/>
    <w:rsid w:val="002F0FF1"/>
    <w:rsid w:val="0030186D"/>
    <w:rsid w:val="00320E1E"/>
    <w:rsid w:val="0034296C"/>
    <w:rsid w:val="00342A79"/>
    <w:rsid w:val="00363B80"/>
    <w:rsid w:val="00375DFE"/>
    <w:rsid w:val="00381A07"/>
    <w:rsid w:val="003838AA"/>
    <w:rsid w:val="00383973"/>
    <w:rsid w:val="003912AA"/>
    <w:rsid w:val="003949C3"/>
    <w:rsid w:val="003B46A9"/>
    <w:rsid w:val="003C3633"/>
    <w:rsid w:val="003C3B1B"/>
    <w:rsid w:val="003F6E31"/>
    <w:rsid w:val="003F6F79"/>
    <w:rsid w:val="004015C7"/>
    <w:rsid w:val="00407864"/>
    <w:rsid w:val="00410C86"/>
    <w:rsid w:val="004157DD"/>
    <w:rsid w:val="00417234"/>
    <w:rsid w:val="0046162B"/>
    <w:rsid w:val="00461821"/>
    <w:rsid w:val="00463138"/>
    <w:rsid w:val="0048189C"/>
    <w:rsid w:val="00493BA1"/>
    <w:rsid w:val="00496950"/>
    <w:rsid w:val="004A1F41"/>
    <w:rsid w:val="004C28CB"/>
    <w:rsid w:val="004D0550"/>
    <w:rsid w:val="004E0348"/>
    <w:rsid w:val="004E7BFE"/>
    <w:rsid w:val="00507EFE"/>
    <w:rsid w:val="005130F8"/>
    <w:rsid w:val="00515196"/>
    <w:rsid w:val="00523D9D"/>
    <w:rsid w:val="005318C0"/>
    <w:rsid w:val="005402BA"/>
    <w:rsid w:val="00546133"/>
    <w:rsid w:val="00547FAE"/>
    <w:rsid w:val="00551F23"/>
    <w:rsid w:val="00565A5F"/>
    <w:rsid w:val="005731D9"/>
    <w:rsid w:val="0057411E"/>
    <w:rsid w:val="005766D6"/>
    <w:rsid w:val="00594C38"/>
    <w:rsid w:val="005A174D"/>
    <w:rsid w:val="005B0E67"/>
    <w:rsid w:val="005B48EA"/>
    <w:rsid w:val="005C0EB3"/>
    <w:rsid w:val="005D0502"/>
    <w:rsid w:val="005D18C7"/>
    <w:rsid w:val="005E2459"/>
    <w:rsid w:val="005E2591"/>
    <w:rsid w:val="005E39D1"/>
    <w:rsid w:val="005E7069"/>
    <w:rsid w:val="005F12BA"/>
    <w:rsid w:val="005F2868"/>
    <w:rsid w:val="005F427B"/>
    <w:rsid w:val="0060055F"/>
    <w:rsid w:val="00610398"/>
    <w:rsid w:val="006201EF"/>
    <w:rsid w:val="00631D3C"/>
    <w:rsid w:val="00633251"/>
    <w:rsid w:val="00636C42"/>
    <w:rsid w:val="00637CD1"/>
    <w:rsid w:val="00650BF5"/>
    <w:rsid w:val="006529DB"/>
    <w:rsid w:val="0065689E"/>
    <w:rsid w:val="006613C1"/>
    <w:rsid w:val="00676D08"/>
    <w:rsid w:val="0069572A"/>
    <w:rsid w:val="00695B08"/>
    <w:rsid w:val="006A0A75"/>
    <w:rsid w:val="006A11BC"/>
    <w:rsid w:val="006A6905"/>
    <w:rsid w:val="006B3574"/>
    <w:rsid w:val="006B687B"/>
    <w:rsid w:val="006C12BA"/>
    <w:rsid w:val="006C1534"/>
    <w:rsid w:val="006C610B"/>
    <w:rsid w:val="006D4607"/>
    <w:rsid w:val="006D5E09"/>
    <w:rsid w:val="006E17AB"/>
    <w:rsid w:val="006E218C"/>
    <w:rsid w:val="006E2935"/>
    <w:rsid w:val="006E3803"/>
    <w:rsid w:val="006F1B0F"/>
    <w:rsid w:val="0070269D"/>
    <w:rsid w:val="00706574"/>
    <w:rsid w:val="00714A9B"/>
    <w:rsid w:val="007204D1"/>
    <w:rsid w:val="007244AB"/>
    <w:rsid w:val="0073029E"/>
    <w:rsid w:val="00746D2F"/>
    <w:rsid w:val="00750A0E"/>
    <w:rsid w:val="007534B1"/>
    <w:rsid w:val="00763393"/>
    <w:rsid w:val="007671A1"/>
    <w:rsid w:val="007733B0"/>
    <w:rsid w:val="00775AE1"/>
    <w:rsid w:val="007865C9"/>
    <w:rsid w:val="00790A3F"/>
    <w:rsid w:val="00791180"/>
    <w:rsid w:val="00797B84"/>
    <w:rsid w:val="007C51A1"/>
    <w:rsid w:val="007C5332"/>
    <w:rsid w:val="007D2E3E"/>
    <w:rsid w:val="007E5CA3"/>
    <w:rsid w:val="007F6BB6"/>
    <w:rsid w:val="008006E5"/>
    <w:rsid w:val="00800A4D"/>
    <w:rsid w:val="00801EF2"/>
    <w:rsid w:val="0080617B"/>
    <w:rsid w:val="0081510A"/>
    <w:rsid w:val="00822F49"/>
    <w:rsid w:val="00826B5F"/>
    <w:rsid w:val="00835060"/>
    <w:rsid w:val="008376D1"/>
    <w:rsid w:val="0084097A"/>
    <w:rsid w:val="008416D7"/>
    <w:rsid w:val="00842443"/>
    <w:rsid w:val="00847AF5"/>
    <w:rsid w:val="00865809"/>
    <w:rsid w:val="00874028"/>
    <w:rsid w:val="00876396"/>
    <w:rsid w:val="00895710"/>
    <w:rsid w:val="008B58E1"/>
    <w:rsid w:val="008C0F08"/>
    <w:rsid w:val="008C38C4"/>
    <w:rsid w:val="008D4279"/>
    <w:rsid w:val="008D70BA"/>
    <w:rsid w:val="008E56C4"/>
    <w:rsid w:val="008E6CD9"/>
    <w:rsid w:val="008F03C3"/>
    <w:rsid w:val="009018C6"/>
    <w:rsid w:val="009045DB"/>
    <w:rsid w:val="00906EDD"/>
    <w:rsid w:val="00910C6A"/>
    <w:rsid w:val="00914399"/>
    <w:rsid w:val="00914BEB"/>
    <w:rsid w:val="00915F84"/>
    <w:rsid w:val="009178A3"/>
    <w:rsid w:val="00926B8B"/>
    <w:rsid w:val="009314B1"/>
    <w:rsid w:val="00936A0C"/>
    <w:rsid w:val="00947959"/>
    <w:rsid w:val="00955CB8"/>
    <w:rsid w:val="0096016B"/>
    <w:rsid w:val="00961CDF"/>
    <w:rsid w:val="00961F8D"/>
    <w:rsid w:val="00962379"/>
    <w:rsid w:val="00975329"/>
    <w:rsid w:val="009758C5"/>
    <w:rsid w:val="00975B23"/>
    <w:rsid w:val="00993AD1"/>
    <w:rsid w:val="0099634B"/>
    <w:rsid w:val="009A59EA"/>
    <w:rsid w:val="009A6FC4"/>
    <w:rsid w:val="009B086A"/>
    <w:rsid w:val="009B5B47"/>
    <w:rsid w:val="009C4D0C"/>
    <w:rsid w:val="009D7805"/>
    <w:rsid w:val="009F61A1"/>
    <w:rsid w:val="00A05B02"/>
    <w:rsid w:val="00A0630C"/>
    <w:rsid w:val="00A105E6"/>
    <w:rsid w:val="00A11600"/>
    <w:rsid w:val="00A176DA"/>
    <w:rsid w:val="00A2177B"/>
    <w:rsid w:val="00A23305"/>
    <w:rsid w:val="00A2712D"/>
    <w:rsid w:val="00A278BA"/>
    <w:rsid w:val="00A339F9"/>
    <w:rsid w:val="00A3547D"/>
    <w:rsid w:val="00A3549F"/>
    <w:rsid w:val="00A35EE3"/>
    <w:rsid w:val="00A36D03"/>
    <w:rsid w:val="00A46D1B"/>
    <w:rsid w:val="00A614B3"/>
    <w:rsid w:val="00A774E9"/>
    <w:rsid w:val="00A80FDC"/>
    <w:rsid w:val="00AA062D"/>
    <w:rsid w:val="00AA6650"/>
    <w:rsid w:val="00AB5AE5"/>
    <w:rsid w:val="00AD0C63"/>
    <w:rsid w:val="00AD2C59"/>
    <w:rsid w:val="00AD3557"/>
    <w:rsid w:val="00AE4E5D"/>
    <w:rsid w:val="00AF05D5"/>
    <w:rsid w:val="00AF1581"/>
    <w:rsid w:val="00AF1A76"/>
    <w:rsid w:val="00B069D8"/>
    <w:rsid w:val="00B07285"/>
    <w:rsid w:val="00B14394"/>
    <w:rsid w:val="00B202A2"/>
    <w:rsid w:val="00B36654"/>
    <w:rsid w:val="00B471E5"/>
    <w:rsid w:val="00B60028"/>
    <w:rsid w:val="00B654F3"/>
    <w:rsid w:val="00B76673"/>
    <w:rsid w:val="00B814BD"/>
    <w:rsid w:val="00B82DA9"/>
    <w:rsid w:val="00B8427F"/>
    <w:rsid w:val="00B87519"/>
    <w:rsid w:val="00B91084"/>
    <w:rsid w:val="00B94552"/>
    <w:rsid w:val="00BA2833"/>
    <w:rsid w:val="00BA7C4B"/>
    <w:rsid w:val="00BB6AA7"/>
    <w:rsid w:val="00BB7C6B"/>
    <w:rsid w:val="00BD5A0A"/>
    <w:rsid w:val="00BD69F3"/>
    <w:rsid w:val="00BE2112"/>
    <w:rsid w:val="00BE709A"/>
    <w:rsid w:val="00BF3CBC"/>
    <w:rsid w:val="00BF40E6"/>
    <w:rsid w:val="00BF673B"/>
    <w:rsid w:val="00C025F8"/>
    <w:rsid w:val="00C07930"/>
    <w:rsid w:val="00C07F53"/>
    <w:rsid w:val="00C100E3"/>
    <w:rsid w:val="00C17CE4"/>
    <w:rsid w:val="00C27549"/>
    <w:rsid w:val="00C3330E"/>
    <w:rsid w:val="00C34BE6"/>
    <w:rsid w:val="00C368B3"/>
    <w:rsid w:val="00C413E3"/>
    <w:rsid w:val="00C41CC9"/>
    <w:rsid w:val="00C42340"/>
    <w:rsid w:val="00C432AA"/>
    <w:rsid w:val="00C47B83"/>
    <w:rsid w:val="00C619DD"/>
    <w:rsid w:val="00C64686"/>
    <w:rsid w:val="00C75ABE"/>
    <w:rsid w:val="00C76BD6"/>
    <w:rsid w:val="00C8312C"/>
    <w:rsid w:val="00C847F2"/>
    <w:rsid w:val="00C85FA4"/>
    <w:rsid w:val="00C863D7"/>
    <w:rsid w:val="00C87959"/>
    <w:rsid w:val="00C93E9C"/>
    <w:rsid w:val="00CA1067"/>
    <w:rsid w:val="00CA1B2A"/>
    <w:rsid w:val="00CA2278"/>
    <w:rsid w:val="00CA5581"/>
    <w:rsid w:val="00CA746D"/>
    <w:rsid w:val="00CB122C"/>
    <w:rsid w:val="00CC1996"/>
    <w:rsid w:val="00CC7DA8"/>
    <w:rsid w:val="00CD13D7"/>
    <w:rsid w:val="00CE1614"/>
    <w:rsid w:val="00CE1CCE"/>
    <w:rsid w:val="00CE23EE"/>
    <w:rsid w:val="00CE3205"/>
    <w:rsid w:val="00CE46CD"/>
    <w:rsid w:val="00CE6CB9"/>
    <w:rsid w:val="00CF194C"/>
    <w:rsid w:val="00CF2C3A"/>
    <w:rsid w:val="00CF35EC"/>
    <w:rsid w:val="00D006E5"/>
    <w:rsid w:val="00D11B86"/>
    <w:rsid w:val="00D13CCA"/>
    <w:rsid w:val="00D13EDC"/>
    <w:rsid w:val="00D15752"/>
    <w:rsid w:val="00D17152"/>
    <w:rsid w:val="00D27BDB"/>
    <w:rsid w:val="00D4328D"/>
    <w:rsid w:val="00D52422"/>
    <w:rsid w:val="00D56178"/>
    <w:rsid w:val="00D61674"/>
    <w:rsid w:val="00D67EF2"/>
    <w:rsid w:val="00D70E7D"/>
    <w:rsid w:val="00D71EA8"/>
    <w:rsid w:val="00D727E5"/>
    <w:rsid w:val="00D83052"/>
    <w:rsid w:val="00D83585"/>
    <w:rsid w:val="00D852B3"/>
    <w:rsid w:val="00D87B6B"/>
    <w:rsid w:val="00D9008E"/>
    <w:rsid w:val="00D9122B"/>
    <w:rsid w:val="00D97436"/>
    <w:rsid w:val="00DB1B2F"/>
    <w:rsid w:val="00DC003B"/>
    <w:rsid w:val="00DD341E"/>
    <w:rsid w:val="00DE722A"/>
    <w:rsid w:val="00DF4B0D"/>
    <w:rsid w:val="00DF62DE"/>
    <w:rsid w:val="00E05F97"/>
    <w:rsid w:val="00E07A22"/>
    <w:rsid w:val="00E26C55"/>
    <w:rsid w:val="00E328B7"/>
    <w:rsid w:val="00E35AF1"/>
    <w:rsid w:val="00E41478"/>
    <w:rsid w:val="00E42F6C"/>
    <w:rsid w:val="00E479DA"/>
    <w:rsid w:val="00E50272"/>
    <w:rsid w:val="00E50EEC"/>
    <w:rsid w:val="00E613CD"/>
    <w:rsid w:val="00E77EA1"/>
    <w:rsid w:val="00E82F9A"/>
    <w:rsid w:val="00E87BB8"/>
    <w:rsid w:val="00E907F2"/>
    <w:rsid w:val="00EA0E43"/>
    <w:rsid w:val="00EB2F53"/>
    <w:rsid w:val="00EC0BA5"/>
    <w:rsid w:val="00EC68A2"/>
    <w:rsid w:val="00EC6C99"/>
    <w:rsid w:val="00ED4AB1"/>
    <w:rsid w:val="00EE1E6A"/>
    <w:rsid w:val="00EE4F01"/>
    <w:rsid w:val="00F007A3"/>
    <w:rsid w:val="00F012C7"/>
    <w:rsid w:val="00F118F7"/>
    <w:rsid w:val="00F14039"/>
    <w:rsid w:val="00F147E0"/>
    <w:rsid w:val="00F32D1F"/>
    <w:rsid w:val="00F333A5"/>
    <w:rsid w:val="00F35A8C"/>
    <w:rsid w:val="00F36766"/>
    <w:rsid w:val="00F418DE"/>
    <w:rsid w:val="00F4505A"/>
    <w:rsid w:val="00F540C3"/>
    <w:rsid w:val="00F553CB"/>
    <w:rsid w:val="00F572F5"/>
    <w:rsid w:val="00F637D2"/>
    <w:rsid w:val="00F75A2D"/>
    <w:rsid w:val="00F8061D"/>
    <w:rsid w:val="00F907BB"/>
    <w:rsid w:val="00FA4E56"/>
    <w:rsid w:val="00FB4BD7"/>
    <w:rsid w:val="00FC01D9"/>
    <w:rsid w:val="00FC4A7E"/>
    <w:rsid w:val="00FC5EA6"/>
    <w:rsid w:val="00FE7C26"/>
    <w:rsid w:val="00FE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05923-05FE-4647-9A74-97B1E491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E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FDC"/>
    <w:pPr>
      <w:ind w:left="720"/>
      <w:contextualSpacing/>
    </w:pPr>
  </w:style>
  <w:style w:type="paragraph" w:styleId="BalloonText">
    <w:name w:val="Balloon Text"/>
    <w:basedOn w:val="Normal"/>
    <w:link w:val="BalloonTextChar"/>
    <w:uiPriority w:val="99"/>
    <w:semiHidden/>
    <w:unhideWhenUsed/>
    <w:rsid w:val="005402BA"/>
    <w:rPr>
      <w:rFonts w:ascii="Tahoma" w:hAnsi="Tahoma" w:cs="Tahoma"/>
      <w:sz w:val="16"/>
      <w:szCs w:val="16"/>
    </w:rPr>
  </w:style>
  <w:style w:type="character" w:customStyle="1" w:styleId="BalloonTextChar">
    <w:name w:val="Balloon Text Char"/>
    <w:basedOn w:val="DefaultParagraphFont"/>
    <w:link w:val="BalloonText"/>
    <w:uiPriority w:val="99"/>
    <w:semiHidden/>
    <w:rsid w:val="005402BA"/>
    <w:rPr>
      <w:rFonts w:ascii="Tahoma" w:eastAsia="Times New Roman" w:hAnsi="Tahoma" w:cs="Tahoma"/>
      <w:sz w:val="16"/>
      <w:szCs w:val="16"/>
      <w:lang w:eastAsia="en-GB"/>
    </w:rPr>
  </w:style>
  <w:style w:type="paragraph" w:styleId="NormalWeb">
    <w:name w:val="Normal (Web)"/>
    <w:basedOn w:val="Normal"/>
    <w:uiPriority w:val="99"/>
    <w:semiHidden/>
    <w:unhideWhenUsed/>
    <w:rsid w:val="00E50EEC"/>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695B08"/>
    <w:rPr>
      <w:sz w:val="16"/>
      <w:szCs w:val="16"/>
    </w:rPr>
  </w:style>
  <w:style w:type="paragraph" w:styleId="CommentText">
    <w:name w:val="annotation text"/>
    <w:basedOn w:val="Normal"/>
    <w:link w:val="CommentTextChar"/>
    <w:uiPriority w:val="99"/>
    <w:semiHidden/>
    <w:unhideWhenUsed/>
    <w:rsid w:val="00695B08"/>
    <w:rPr>
      <w:sz w:val="20"/>
      <w:szCs w:val="20"/>
    </w:rPr>
  </w:style>
  <w:style w:type="character" w:customStyle="1" w:styleId="CommentTextChar">
    <w:name w:val="Comment Text Char"/>
    <w:basedOn w:val="DefaultParagraphFont"/>
    <w:link w:val="CommentText"/>
    <w:uiPriority w:val="99"/>
    <w:semiHidden/>
    <w:rsid w:val="00695B0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5B08"/>
    <w:rPr>
      <w:b/>
      <w:bCs/>
    </w:rPr>
  </w:style>
  <w:style w:type="character" w:customStyle="1" w:styleId="CommentSubjectChar">
    <w:name w:val="Comment Subject Char"/>
    <w:basedOn w:val="CommentTextChar"/>
    <w:link w:val="CommentSubject"/>
    <w:uiPriority w:val="99"/>
    <w:semiHidden/>
    <w:rsid w:val="00695B0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81A07"/>
    <w:pPr>
      <w:tabs>
        <w:tab w:val="center" w:pos="4513"/>
        <w:tab w:val="right" w:pos="9026"/>
      </w:tabs>
    </w:pPr>
  </w:style>
  <w:style w:type="character" w:customStyle="1" w:styleId="HeaderChar">
    <w:name w:val="Header Char"/>
    <w:basedOn w:val="DefaultParagraphFont"/>
    <w:link w:val="Header"/>
    <w:uiPriority w:val="99"/>
    <w:rsid w:val="00381A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1A07"/>
    <w:pPr>
      <w:tabs>
        <w:tab w:val="center" w:pos="4513"/>
        <w:tab w:val="right" w:pos="9026"/>
      </w:tabs>
    </w:pPr>
  </w:style>
  <w:style w:type="character" w:customStyle="1" w:styleId="FooterChar">
    <w:name w:val="Footer Char"/>
    <w:basedOn w:val="DefaultParagraphFont"/>
    <w:link w:val="Footer"/>
    <w:uiPriority w:val="99"/>
    <w:rsid w:val="00381A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509">
      <w:bodyDiv w:val="1"/>
      <w:marLeft w:val="0"/>
      <w:marRight w:val="0"/>
      <w:marTop w:val="0"/>
      <w:marBottom w:val="0"/>
      <w:divBdr>
        <w:top w:val="none" w:sz="0" w:space="0" w:color="auto"/>
        <w:left w:val="none" w:sz="0" w:space="0" w:color="auto"/>
        <w:bottom w:val="none" w:sz="0" w:space="0" w:color="auto"/>
        <w:right w:val="none" w:sz="0" w:space="0" w:color="auto"/>
      </w:divBdr>
    </w:div>
    <w:div w:id="50010060">
      <w:bodyDiv w:val="1"/>
      <w:marLeft w:val="0"/>
      <w:marRight w:val="0"/>
      <w:marTop w:val="0"/>
      <w:marBottom w:val="0"/>
      <w:divBdr>
        <w:top w:val="none" w:sz="0" w:space="0" w:color="auto"/>
        <w:left w:val="none" w:sz="0" w:space="0" w:color="auto"/>
        <w:bottom w:val="none" w:sz="0" w:space="0" w:color="auto"/>
        <w:right w:val="none" w:sz="0" w:space="0" w:color="auto"/>
      </w:divBdr>
    </w:div>
    <w:div w:id="58283939">
      <w:bodyDiv w:val="1"/>
      <w:marLeft w:val="0"/>
      <w:marRight w:val="0"/>
      <w:marTop w:val="0"/>
      <w:marBottom w:val="0"/>
      <w:divBdr>
        <w:top w:val="none" w:sz="0" w:space="0" w:color="auto"/>
        <w:left w:val="none" w:sz="0" w:space="0" w:color="auto"/>
        <w:bottom w:val="none" w:sz="0" w:space="0" w:color="auto"/>
        <w:right w:val="none" w:sz="0" w:space="0" w:color="auto"/>
      </w:divBdr>
    </w:div>
    <w:div w:id="63840452">
      <w:bodyDiv w:val="1"/>
      <w:marLeft w:val="0"/>
      <w:marRight w:val="0"/>
      <w:marTop w:val="0"/>
      <w:marBottom w:val="0"/>
      <w:divBdr>
        <w:top w:val="none" w:sz="0" w:space="0" w:color="auto"/>
        <w:left w:val="none" w:sz="0" w:space="0" w:color="auto"/>
        <w:bottom w:val="none" w:sz="0" w:space="0" w:color="auto"/>
        <w:right w:val="none" w:sz="0" w:space="0" w:color="auto"/>
      </w:divBdr>
    </w:div>
    <w:div w:id="68962022">
      <w:bodyDiv w:val="1"/>
      <w:marLeft w:val="0"/>
      <w:marRight w:val="0"/>
      <w:marTop w:val="0"/>
      <w:marBottom w:val="0"/>
      <w:divBdr>
        <w:top w:val="none" w:sz="0" w:space="0" w:color="auto"/>
        <w:left w:val="none" w:sz="0" w:space="0" w:color="auto"/>
        <w:bottom w:val="none" w:sz="0" w:space="0" w:color="auto"/>
        <w:right w:val="none" w:sz="0" w:space="0" w:color="auto"/>
      </w:divBdr>
    </w:div>
    <w:div w:id="69549451">
      <w:bodyDiv w:val="1"/>
      <w:marLeft w:val="0"/>
      <w:marRight w:val="0"/>
      <w:marTop w:val="0"/>
      <w:marBottom w:val="0"/>
      <w:divBdr>
        <w:top w:val="none" w:sz="0" w:space="0" w:color="auto"/>
        <w:left w:val="none" w:sz="0" w:space="0" w:color="auto"/>
        <w:bottom w:val="none" w:sz="0" w:space="0" w:color="auto"/>
        <w:right w:val="none" w:sz="0" w:space="0" w:color="auto"/>
      </w:divBdr>
    </w:div>
    <w:div w:id="75322514">
      <w:bodyDiv w:val="1"/>
      <w:marLeft w:val="0"/>
      <w:marRight w:val="0"/>
      <w:marTop w:val="0"/>
      <w:marBottom w:val="0"/>
      <w:divBdr>
        <w:top w:val="none" w:sz="0" w:space="0" w:color="auto"/>
        <w:left w:val="none" w:sz="0" w:space="0" w:color="auto"/>
        <w:bottom w:val="none" w:sz="0" w:space="0" w:color="auto"/>
        <w:right w:val="none" w:sz="0" w:space="0" w:color="auto"/>
      </w:divBdr>
    </w:div>
    <w:div w:id="91095846">
      <w:bodyDiv w:val="1"/>
      <w:marLeft w:val="0"/>
      <w:marRight w:val="0"/>
      <w:marTop w:val="0"/>
      <w:marBottom w:val="0"/>
      <w:divBdr>
        <w:top w:val="none" w:sz="0" w:space="0" w:color="auto"/>
        <w:left w:val="none" w:sz="0" w:space="0" w:color="auto"/>
        <w:bottom w:val="none" w:sz="0" w:space="0" w:color="auto"/>
        <w:right w:val="none" w:sz="0" w:space="0" w:color="auto"/>
      </w:divBdr>
    </w:div>
    <w:div w:id="118693794">
      <w:bodyDiv w:val="1"/>
      <w:marLeft w:val="0"/>
      <w:marRight w:val="0"/>
      <w:marTop w:val="0"/>
      <w:marBottom w:val="0"/>
      <w:divBdr>
        <w:top w:val="none" w:sz="0" w:space="0" w:color="auto"/>
        <w:left w:val="none" w:sz="0" w:space="0" w:color="auto"/>
        <w:bottom w:val="none" w:sz="0" w:space="0" w:color="auto"/>
        <w:right w:val="none" w:sz="0" w:space="0" w:color="auto"/>
      </w:divBdr>
    </w:div>
    <w:div w:id="149760078">
      <w:bodyDiv w:val="1"/>
      <w:marLeft w:val="0"/>
      <w:marRight w:val="0"/>
      <w:marTop w:val="0"/>
      <w:marBottom w:val="0"/>
      <w:divBdr>
        <w:top w:val="none" w:sz="0" w:space="0" w:color="auto"/>
        <w:left w:val="none" w:sz="0" w:space="0" w:color="auto"/>
        <w:bottom w:val="none" w:sz="0" w:space="0" w:color="auto"/>
        <w:right w:val="none" w:sz="0" w:space="0" w:color="auto"/>
      </w:divBdr>
    </w:div>
    <w:div w:id="163281456">
      <w:bodyDiv w:val="1"/>
      <w:marLeft w:val="0"/>
      <w:marRight w:val="0"/>
      <w:marTop w:val="0"/>
      <w:marBottom w:val="0"/>
      <w:divBdr>
        <w:top w:val="none" w:sz="0" w:space="0" w:color="auto"/>
        <w:left w:val="none" w:sz="0" w:space="0" w:color="auto"/>
        <w:bottom w:val="none" w:sz="0" w:space="0" w:color="auto"/>
        <w:right w:val="none" w:sz="0" w:space="0" w:color="auto"/>
      </w:divBdr>
    </w:div>
    <w:div w:id="165439597">
      <w:bodyDiv w:val="1"/>
      <w:marLeft w:val="0"/>
      <w:marRight w:val="0"/>
      <w:marTop w:val="0"/>
      <w:marBottom w:val="0"/>
      <w:divBdr>
        <w:top w:val="none" w:sz="0" w:space="0" w:color="auto"/>
        <w:left w:val="none" w:sz="0" w:space="0" w:color="auto"/>
        <w:bottom w:val="none" w:sz="0" w:space="0" w:color="auto"/>
        <w:right w:val="none" w:sz="0" w:space="0" w:color="auto"/>
      </w:divBdr>
    </w:div>
    <w:div w:id="380133986">
      <w:bodyDiv w:val="1"/>
      <w:marLeft w:val="0"/>
      <w:marRight w:val="0"/>
      <w:marTop w:val="0"/>
      <w:marBottom w:val="0"/>
      <w:divBdr>
        <w:top w:val="none" w:sz="0" w:space="0" w:color="auto"/>
        <w:left w:val="none" w:sz="0" w:space="0" w:color="auto"/>
        <w:bottom w:val="none" w:sz="0" w:space="0" w:color="auto"/>
        <w:right w:val="none" w:sz="0" w:space="0" w:color="auto"/>
      </w:divBdr>
    </w:div>
    <w:div w:id="431780309">
      <w:bodyDiv w:val="1"/>
      <w:marLeft w:val="0"/>
      <w:marRight w:val="0"/>
      <w:marTop w:val="0"/>
      <w:marBottom w:val="0"/>
      <w:divBdr>
        <w:top w:val="none" w:sz="0" w:space="0" w:color="auto"/>
        <w:left w:val="none" w:sz="0" w:space="0" w:color="auto"/>
        <w:bottom w:val="none" w:sz="0" w:space="0" w:color="auto"/>
        <w:right w:val="none" w:sz="0" w:space="0" w:color="auto"/>
      </w:divBdr>
    </w:div>
    <w:div w:id="480773747">
      <w:bodyDiv w:val="1"/>
      <w:marLeft w:val="0"/>
      <w:marRight w:val="0"/>
      <w:marTop w:val="0"/>
      <w:marBottom w:val="0"/>
      <w:divBdr>
        <w:top w:val="none" w:sz="0" w:space="0" w:color="auto"/>
        <w:left w:val="none" w:sz="0" w:space="0" w:color="auto"/>
        <w:bottom w:val="none" w:sz="0" w:space="0" w:color="auto"/>
        <w:right w:val="none" w:sz="0" w:space="0" w:color="auto"/>
      </w:divBdr>
    </w:div>
    <w:div w:id="540821224">
      <w:bodyDiv w:val="1"/>
      <w:marLeft w:val="0"/>
      <w:marRight w:val="0"/>
      <w:marTop w:val="0"/>
      <w:marBottom w:val="0"/>
      <w:divBdr>
        <w:top w:val="none" w:sz="0" w:space="0" w:color="auto"/>
        <w:left w:val="none" w:sz="0" w:space="0" w:color="auto"/>
        <w:bottom w:val="none" w:sz="0" w:space="0" w:color="auto"/>
        <w:right w:val="none" w:sz="0" w:space="0" w:color="auto"/>
      </w:divBdr>
    </w:div>
    <w:div w:id="583615070">
      <w:bodyDiv w:val="1"/>
      <w:marLeft w:val="0"/>
      <w:marRight w:val="0"/>
      <w:marTop w:val="0"/>
      <w:marBottom w:val="0"/>
      <w:divBdr>
        <w:top w:val="none" w:sz="0" w:space="0" w:color="auto"/>
        <w:left w:val="none" w:sz="0" w:space="0" w:color="auto"/>
        <w:bottom w:val="none" w:sz="0" w:space="0" w:color="auto"/>
        <w:right w:val="none" w:sz="0" w:space="0" w:color="auto"/>
      </w:divBdr>
    </w:div>
    <w:div w:id="618144793">
      <w:bodyDiv w:val="1"/>
      <w:marLeft w:val="0"/>
      <w:marRight w:val="0"/>
      <w:marTop w:val="0"/>
      <w:marBottom w:val="0"/>
      <w:divBdr>
        <w:top w:val="none" w:sz="0" w:space="0" w:color="auto"/>
        <w:left w:val="none" w:sz="0" w:space="0" w:color="auto"/>
        <w:bottom w:val="none" w:sz="0" w:space="0" w:color="auto"/>
        <w:right w:val="none" w:sz="0" w:space="0" w:color="auto"/>
      </w:divBdr>
    </w:div>
    <w:div w:id="634289320">
      <w:bodyDiv w:val="1"/>
      <w:marLeft w:val="0"/>
      <w:marRight w:val="0"/>
      <w:marTop w:val="0"/>
      <w:marBottom w:val="0"/>
      <w:divBdr>
        <w:top w:val="none" w:sz="0" w:space="0" w:color="auto"/>
        <w:left w:val="none" w:sz="0" w:space="0" w:color="auto"/>
        <w:bottom w:val="none" w:sz="0" w:space="0" w:color="auto"/>
        <w:right w:val="none" w:sz="0" w:space="0" w:color="auto"/>
      </w:divBdr>
    </w:div>
    <w:div w:id="637614992">
      <w:bodyDiv w:val="1"/>
      <w:marLeft w:val="0"/>
      <w:marRight w:val="0"/>
      <w:marTop w:val="0"/>
      <w:marBottom w:val="0"/>
      <w:divBdr>
        <w:top w:val="none" w:sz="0" w:space="0" w:color="auto"/>
        <w:left w:val="none" w:sz="0" w:space="0" w:color="auto"/>
        <w:bottom w:val="none" w:sz="0" w:space="0" w:color="auto"/>
        <w:right w:val="none" w:sz="0" w:space="0" w:color="auto"/>
      </w:divBdr>
    </w:div>
    <w:div w:id="661353509">
      <w:bodyDiv w:val="1"/>
      <w:marLeft w:val="0"/>
      <w:marRight w:val="0"/>
      <w:marTop w:val="0"/>
      <w:marBottom w:val="0"/>
      <w:divBdr>
        <w:top w:val="none" w:sz="0" w:space="0" w:color="auto"/>
        <w:left w:val="none" w:sz="0" w:space="0" w:color="auto"/>
        <w:bottom w:val="none" w:sz="0" w:space="0" w:color="auto"/>
        <w:right w:val="none" w:sz="0" w:space="0" w:color="auto"/>
      </w:divBdr>
    </w:div>
    <w:div w:id="751901428">
      <w:bodyDiv w:val="1"/>
      <w:marLeft w:val="0"/>
      <w:marRight w:val="0"/>
      <w:marTop w:val="0"/>
      <w:marBottom w:val="0"/>
      <w:divBdr>
        <w:top w:val="none" w:sz="0" w:space="0" w:color="auto"/>
        <w:left w:val="none" w:sz="0" w:space="0" w:color="auto"/>
        <w:bottom w:val="none" w:sz="0" w:space="0" w:color="auto"/>
        <w:right w:val="none" w:sz="0" w:space="0" w:color="auto"/>
      </w:divBdr>
    </w:div>
    <w:div w:id="764231946">
      <w:bodyDiv w:val="1"/>
      <w:marLeft w:val="0"/>
      <w:marRight w:val="0"/>
      <w:marTop w:val="0"/>
      <w:marBottom w:val="0"/>
      <w:divBdr>
        <w:top w:val="none" w:sz="0" w:space="0" w:color="auto"/>
        <w:left w:val="none" w:sz="0" w:space="0" w:color="auto"/>
        <w:bottom w:val="none" w:sz="0" w:space="0" w:color="auto"/>
        <w:right w:val="none" w:sz="0" w:space="0" w:color="auto"/>
      </w:divBdr>
    </w:div>
    <w:div w:id="785584136">
      <w:bodyDiv w:val="1"/>
      <w:marLeft w:val="0"/>
      <w:marRight w:val="0"/>
      <w:marTop w:val="0"/>
      <w:marBottom w:val="0"/>
      <w:divBdr>
        <w:top w:val="none" w:sz="0" w:space="0" w:color="auto"/>
        <w:left w:val="none" w:sz="0" w:space="0" w:color="auto"/>
        <w:bottom w:val="none" w:sz="0" w:space="0" w:color="auto"/>
        <w:right w:val="none" w:sz="0" w:space="0" w:color="auto"/>
      </w:divBdr>
    </w:div>
    <w:div w:id="810175334">
      <w:bodyDiv w:val="1"/>
      <w:marLeft w:val="0"/>
      <w:marRight w:val="0"/>
      <w:marTop w:val="0"/>
      <w:marBottom w:val="0"/>
      <w:divBdr>
        <w:top w:val="none" w:sz="0" w:space="0" w:color="auto"/>
        <w:left w:val="none" w:sz="0" w:space="0" w:color="auto"/>
        <w:bottom w:val="none" w:sz="0" w:space="0" w:color="auto"/>
        <w:right w:val="none" w:sz="0" w:space="0" w:color="auto"/>
      </w:divBdr>
    </w:div>
    <w:div w:id="817301170">
      <w:bodyDiv w:val="1"/>
      <w:marLeft w:val="0"/>
      <w:marRight w:val="0"/>
      <w:marTop w:val="0"/>
      <w:marBottom w:val="0"/>
      <w:divBdr>
        <w:top w:val="none" w:sz="0" w:space="0" w:color="auto"/>
        <w:left w:val="none" w:sz="0" w:space="0" w:color="auto"/>
        <w:bottom w:val="none" w:sz="0" w:space="0" w:color="auto"/>
        <w:right w:val="none" w:sz="0" w:space="0" w:color="auto"/>
      </w:divBdr>
    </w:div>
    <w:div w:id="897520258">
      <w:bodyDiv w:val="1"/>
      <w:marLeft w:val="0"/>
      <w:marRight w:val="0"/>
      <w:marTop w:val="0"/>
      <w:marBottom w:val="0"/>
      <w:divBdr>
        <w:top w:val="none" w:sz="0" w:space="0" w:color="auto"/>
        <w:left w:val="none" w:sz="0" w:space="0" w:color="auto"/>
        <w:bottom w:val="none" w:sz="0" w:space="0" w:color="auto"/>
        <w:right w:val="none" w:sz="0" w:space="0" w:color="auto"/>
      </w:divBdr>
    </w:div>
    <w:div w:id="978340789">
      <w:bodyDiv w:val="1"/>
      <w:marLeft w:val="0"/>
      <w:marRight w:val="0"/>
      <w:marTop w:val="0"/>
      <w:marBottom w:val="0"/>
      <w:divBdr>
        <w:top w:val="none" w:sz="0" w:space="0" w:color="auto"/>
        <w:left w:val="none" w:sz="0" w:space="0" w:color="auto"/>
        <w:bottom w:val="none" w:sz="0" w:space="0" w:color="auto"/>
        <w:right w:val="none" w:sz="0" w:space="0" w:color="auto"/>
      </w:divBdr>
    </w:div>
    <w:div w:id="987562204">
      <w:bodyDiv w:val="1"/>
      <w:marLeft w:val="0"/>
      <w:marRight w:val="0"/>
      <w:marTop w:val="0"/>
      <w:marBottom w:val="0"/>
      <w:divBdr>
        <w:top w:val="none" w:sz="0" w:space="0" w:color="auto"/>
        <w:left w:val="none" w:sz="0" w:space="0" w:color="auto"/>
        <w:bottom w:val="none" w:sz="0" w:space="0" w:color="auto"/>
        <w:right w:val="none" w:sz="0" w:space="0" w:color="auto"/>
      </w:divBdr>
    </w:div>
    <w:div w:id="993988104">
      <w:bodyDiv w:val="1"/>
      <w:marLeft w:val="0"/>
      <w:marRight w:val="0"/>
      <w:marTop w:val="0"/>
      <w:marBottom w:val="0"/>
      <w:divBdr>
        <w:top w:val="none" w:sz="0" w:space="0" w:color="auto"/>
        <w:left w:val="none" w:sz="0" w:space="0" w:color="auto"/>
        <w:bottom w:val="none" w:sz="0" w:space="0" w:color="auto"/>
        <w:right w:val="none" w:sz="0" w:space="0" w:color="auto"/>
      </w:divBdr>
    </w:div>
    <w:div w:id="1018965960">
      <w:bodyDiv w:val="1"/>
      <w:marLeft w:val="0"/>
      <w:marRight w:val="0"/>
      <w:marTop w:val="0"/>
      <w:marBottom w:val="0"/>
      <w:divBdr>
        <w:top w:val="none" w:sz="0" w:space="0" w:color="auto"/>
        <w:left w:val="none" w:sz="0" w:space="0" w:color="auto"/>
        <w:bottom w:val="none" w:sz="0" w:space="0" w:color="auto"/>
        <w:right w:val="none" w:sz="0" w:space="0" w:color="auto"/>
      </w:divBdr>
    </w:div>
    <w:div w:id="1056053819">
      <w:bodyDiv w:val="1"/>
      <w:marLeft w:val="0"/>
      <w:marRight w:val="0"/>
      <w:marTop w:val="0"/>
      <w:marBottom w:val="0"/>
      <w:divBdr>
        <w:top w:val="none" w:sz="0" w:space="0" w:color="auto"/>
        <w:left w:val="none" w:sz="0" w:space="0" w:color="auto"/>
        <w:bottom w:val="none" w:sz="0" w:space="0" w:color="auto"/>
        <w:right w:val="none" w:sz="0" w:space="0" w:color="auto"/>
      </w:divBdr>
    </w:div>
    <w:div w:id="1087849219">
      <w:bodyDiv w:val="1"/>
      <w:marLeft w:val="0"/>
      <w:marRight w:val="0"/>
      <w:marTop w:val="0"/>
      <w:marBottom w:val="0"/>
      <w:divBdr>
        <w:top w:val="none" w:sz="0" w:space="0" w:color="auto"/>
        <w:left w:val="none" w:sz="0" w:space="0" w:color="auto"/>
        <w:bottom w:val="none" w:sz="0" w:space="0" w:color="auto"/>
        <w:right w:val="none" w:sz="0" w:space="0" w:color="auto"/>
      </w:divBdr>
    </w:div>
    <w:div w:id="1094976686">
      <w:bodyDiv w:val="1"/>
      <w:marLeft w:val="0"/>
      <w:marRight w:val="0"/>
      <w:marTop w:val="0"/>
      <w:marBottom w:val="0"/>
      <w:divBdr>
        <w:top w:val="none" w:sz="0" w:space="0" w:color="auto"/>
        <w:left w:val="none" w:sz="0" w:space="0" w:color="auto"/>
        <w:bottom w:val="none" w:sz="0" w:space="0" w:color="auto"/>
        <w:right w:val="none" w:sz="0" w:space="0" w:color="auto"/>
      </w:divBdr>
    </w:div>
    <w:div w:id="1106803525">
      <w:bodyDiv w:val="1"/>
      <w:marLeft w:val="0"/>
      <w:marRight w:val="0"/>
      <w:marTop w:val="0"/>
      <w:marBottom w:val="0"/>
      <w:divBdr>
        <w:top w:val="none" w:sz="0" w:space="0" w:color="auto"/>
        <w:left w:val="none" w:sz="0" w:space="0" w:color="auto"/>
        <w:bottom w:val="none" w:sz="0" w:space="0" w:color="auto"/>
        <w:right w:val="none" w:sz="0" w:space="0" w:color="auto"/>
      </w:divBdr>
    </w:div>
    <w:div w:id="1157840206">
      <w:bodyDiv w:val="1"/>
      <w:marLeft w:val="0"/>
      <w:marRight w:val="0"/>
      <w:marTop w:val="0"/>
      <w:marBottom w:val="0"/>
      <w:divBdr>
        <w:top w:val="none" w:sz="0" w:space="0" w:color="auto"/>
        <w:left w:val="none" w:sz="0" w:space="0" w:color="auto"/>
        <w:bottom w:val="none" w:sz="0" w:space="0" w:color="auto"/>
        <w:right w:val="none" w:sz="0" w:space="0" w:color="auto"/>
      </w:divBdr>
    </w:div>
    <w:div w:id="1168179669">
      <w:bodyDiv w:val="1"/>
      <w:marLeft w:val="0"/>
      <w:marRight w:val="0"/>
      <w:marTop w:val="0"/>
      <w:marBottom w:val="0"/>
      <w:divBdr>
        <w:top w:val="none" w:sz="0" w:space="0" w:color="auto"/>
        <w:left w:val="none" w:sz="0" w:space="0" w:color="auto"/>
        <w:bottom w:val="none" w:sz="0" w:space="0" w:color="auto"/>
        <w:right w:val="none" w:sz="0" w:space="0" w:color="auto"/>
      </w:divBdr>
    </w:div>
    <w:div w:id="1204370297">
      <w:bodyDiv w:val="1"/>
      <w:marLeft w:val="0"/>
      <w:marRight w:val="0"/>
      <w:marTop w:val="0"/>
      <w:marBottom w:val="0"/>
      <w:divBdr>
        <w:top w:val="none" w:sz="0" w:space="0" w:color="auto"/>
        <w:left w:val="none" w:sz="0" w:space="0" w:color="auto"/>
        <w:bottom w:val="none" w:sz="0" w:space="0" w:color="auto"/>
        <w:right w:val="none" w:sz="0" w:space="0" w:color="auto"/>
      </w:divBdr>
    </w:div>
    <w:div w:id="1326863344">
      <w:bodyDiv w:val="1"/>
      <w:marLeft w:val="0"/>
      <w:marRight w:val="0"/>
      <w:marTop w:val="0"/>
      <w:marBottom w:val="0"/>
      <w:divBdr>
        <w:top w:val="none" w:sz="0" w:space="0" w:color="auto"/>
        <w:left w:val="none" w:sz="0" w:space="0" w:color="auto"/>
        <w:bottom w:val="none" w:sz="0" w:space="0" w:color="auto"/>
        <w:right w:val="none" w:sz="0" w:space="0" w:color="auto"/>
      </w:divBdr>
    </w:div>
    <w:div w:id="1368872117">
      <w:bodyDiv w:val="1"/>
      <w:marLeft w:val="0"/>
      <w:marRight w:val="0"/>
      <w:marTop w:val="0"/>
      <w:marBottom w:val="0"/>
      <w:divBdr>
        <w:top w:val="none" w:sz="0" w:space="0" w:color="auto"/>
        <w:left w:val="none" w:sz="0" w:space="0" w:color="auto"/>
        <w:bottom w:val="none" w:sz="0" w:space="0" w:color="auto"/>
        <w:right w:val="none" w:sz="0" w:space="0" w:color="auto"/>
      </w:divBdr>
    </w:div>
    <w:div w:id="1415205604">
      <w:bodyDiv w:val="1"/>
      <w:marLeft w:val="0"/>
      <w:marRight w:val="0"/>
      <w:marTop w:val="0"/>
      <w:marBottom w:val="0"/>
      <w:divBdr>
        <w:top w:val="none" w:sz="0" w:space="0" w:color="auto"/>
        <w:left w:val="none" w:sz="0" w:space="0" w:color="auto"/>
        <w:bottom w:val="none" w:sz="0" w:space="0" w:color="auto"/>
        <w:right w:val="none" w:sz="0" w:space="0" w:color="auto"/>
      </w:divBdr>
    </w:div>
    <w:div w:id="1417556302">
      <w:bodyDiv w:val="1"/>
      <w:marLeft w:val="0"/>
      <w:marRight w:val="0"/>
      <w:marTop w:val="0"/>
      <w:marBottom w:val="0"/>
      <w:divBdr>
        <w:top w:val="none" w:sz="0" w:space="0" w:color="auto"/>
        <w:left w:val="none" w:sz="0" w:space="0" w:color="auto"/>
        <w:bottom w:val="none" w:sz="0" w:space="0" w:color="auto"/>
        <w:right w:val="none" w:sz="0" w:space="0" w:color="auto"/>
      </w:divBdr>
    </w:div>
    <w:div w:id="1430271859">
      <w:bodyDiv w:val="1"/>
      <w:marLeft w:val="0"/>
      <w:marRight w:val="0"/>
      <w:marTop w:val="0"/>
      <w:marBottom w:val="0"/>
      <w:divBdr>
        <w:top w:val="none" w:sz="0" w:space="0" w:color="auto"/>
        <w:left w:val="none" w:sz="0" w:space="0" w:color="auto"/>
        <w:bottom w:val="none" w:sz="0" w:space="0" w:color="auto"/>
        <w:right w:val="none" w:sz="0" w:space="0" w:color="auto"/>
      </w:divBdr>
    </w:div>
    <w:div w:id="1432123065">
      <w:bodyDiv w:val="1"/>
      <w:marLeft w:val="0"/>
      <w:marRight w:val="0"/>
      <w:marTop w:val="0"/>
      <w:marBottom w:val="0"/>
      <w:divBdr>
        <w:top w:val="none" w:sz="0" w:space="0" w:color="auto"/>
        <w:left w:val="none" w:sz="0" w:space="0" w:color="auto"/>
        <w:bottom w:val="none" w:sz="0" w:space="0" w:color="auto"/>
        <w:right w:val="none" w:sz="0" w:space="0" w:color="auto"/>
      </w:divBdr>
    </w:div>
    <w:div w:id="1465351479">
      <w:bodyDiv w:val="1"/>
      <w:marLeft w:val="0"/>
      <w:marRight w:val="0"/>
      <w:marTop w:val="0"/>
      <w:marBottom w:val="0"/>
      <w:divBdr>
        <w:top w:val="none" w:sz="0" w:space="0" w:color="auto"/>
        <w:left w:val="none" w:sz="0" w:space="0" w:color="auto"/>
        <w:bottom w:val="none" w:sz="0" w:space="0" w:color="auto"/>
        <w:right w:val="none" w:sz="0" w:space="0" w:color="auto"/>
      </w:divBdr>
    </w:div>
    <w:div w:id="1486974732">
      <w:bodyDiv w:val="1"/>
      <w:marLeft w:val="0"/>
      <w:marRight w:val="0"/>
      <w:marTop w:val="0"/>
      <w:marBottom w:val="0"/>
      <w:divBdr>
        <w:top w:val="none" w:sz="0" w:space="0" w:color="auto"/>
        <w:left w:val="none" w:sz="0" w:space="0" w:color="auto"/>
        <w:bottom w:val="none" w:sz="0" w:space="0" w:color="auto"/>
        <w:right w:val="none" w:sz="0" w:space="0" w:color="auto"/>
      </w:divBdr>
    </w:div>
    <w:div w:id="1492210354">
      <w:bodyDiv w:val="1"/>
      <w:marLeft w:val="0"/>
      <w:marRight w:val="0"/>
      <w:marTop w:val="0"/>
      <w:marBottom w:val="0"/>
      <w:divBdr>
        <w:top w:val="none" w:sz="0" w:space="0" w:color="auto"/>
        <w:left w:val="none" w:sz="0" w:space="0" w:color="auto"/>
        <w:bottom w:val="none" w:sz="0" w:space="0" w:color="auto"/>
        <w:right w:val="none" w:sz="0" w:space="0" w:color="auto"/>
      </w:divBdr>
    </w:div>
    <w:div w:id="1498497543">
      <w:bodyDiv w:val="1"/>
      <w:marLeft w:val="0"/>
      <w:marRight w:val="0"/>
      <w:marTop w:val="0"/>
      <w:marBottom w:val="0"/>
      <w:divBdr>
        <w:top w:val="none" w:sz="0" w:space="0" w:color="auto"/>
        <w:left w:val="none" w:sz="0" w:space="0" w:color="auto"/>
        <w:bottom w:val="none" w:sz="0" w:space="0" w:color="auto"/>
        <w:right w:val="none" w:sz="0" w:space="0" w:color="auto"/>
      </w:divBdr>
    </w:div>
    <w:div w:id="1504275147">
      <w:bodyDiv w:val="1"/>
      <w:marLeft w:val="0"/>
      <w:marRight w:val="0"/>
      <w:marTop w:val="0"/>
      <w:marBottom w:val="0"/>
      <w:divBdr>
        <w:top w:val="none" w:sz="0" w:space="0" w:color="auto"/>
        <w:left w:val="none" w:sz="0" w:space="0" w:color="auto"/>
        <w:bottom w:val="none" w:sz="0" w:space="0" w:color="auto"/>
        <w:right w:val="none" w:sz="0" w:space="0" w:color="auto"/>
      </w:divBdr>
    </w:div>
    <w:div w:id="1516842245">
      <w:bodyDiv w:val="1"/>
      <w:marLeft w:val="0"/>
      <w:marRight w:val="0"/>
      <w:marTop w:val="0"/>
      <w:marBottom w:val="0"/>
      <w:divBdr>
        <w:top w:val="none" w:sz="0" w:space="0" w:color="auto"/>
        <w:left w:val="none" w:sz="0" w:space="0" w:color="auto"/>
        <w:bottom w:val="none" w:sz="0" w:space="0" w:color="auto"/>
        <w:right w:val="none" w:sz="0" w:space="0" w:color="auto"/>
      </w:divBdr>
    </w:div>
    <w:div w:id="1532105148">
      <w:bodyDiv w:val="1"/>
      <w:marLeft w:val="0"/>
      <w:marRight w:val="0"/>
      <w:marTop w:val="0"/>
      <w:marBottom w:val="0"/>
      <w:divBdr>
        <w:top w:val="none" w:sz="0" w:space="0" w:color="auto"/>
        <w:left w:val="none" w:sz="0" w:space="0" w:color="auto"/>
        <w:bottom w:val="none" w:sz="0" w:space="0" w:color="auto"/>
        <w:right w:val="none" w:sz="0" w:space="0" w:color="auto"/>
      </w:divBdr>
    </w:div>
    <w:div w:id="1543010222">
      <w:bodyDiv w:val="1"/>
      <w:marLeft w:val="0"/>
      <w:marRight w:val="0"/>
      <w:marTop w:val="0"/>
      <w:marBottom w:val="0"/>
      <w:divBdr>
        <w:top w:val="none" w:sz="0" w:space="0" w:color="auto"/>
        <w:left w:val="none" w:sz="0" w:space="0" w:color="auto"/>
        <w:bottom w:val="none" w:sz="0" w:space="0" w:color="auto"/>
        <w:right w:val="none" w:sz="0" w:space="0" w:color="auto"/>
      </w:divBdr>
    </w:div>
    <w:div w:id="1545751612">
      <w:bodyDiv w:val="1"/>
      <w:marLeft w:val="0"/>
      <w:marRight w:val="0"/>
      <w:marTop w:val="0"/>
      <w:marBottom w:val="0"/>
      <w:divBdr>
        <w:top w:val="none" w:sz="0" w:space="0" w:color="auto"/>
        <w:left w:val="none" w:sz="0" w:space="0" w:color="auto"/>
        <w:bottom w:val="none" w:sz="0" w:space="0" w:color="auto"/>
        <w:right w:val="none" w:sz="0" w:space="0" w:color="auto"/>
      </w:divBdr>
    </w:div>
    <w:div w:id="1560281303">
      <w:bodyDiv w:val="1"/>
      <w:marLeft w:val="0"/>
      <w:marRight w:val="0"/>
      <w:marTop w:val="0"/>
      <w:marBottom w:val="0"/>
      <w:divBdr>
        <w:top w:val="none" w:sz="0" w:space="0" w:color="auto"/>
        <w:left w:val="none" w:sz="0" w:space="0" w:color="auto"/>
        <w:bottom w:val="none" w:sz="0" w:space="0" w:color="auto"/>
        <w:right w:val="none" w:sz="0" w:space="0" w:color="auto"/>
      </w:divBdr>
    </w:div>
    <w:div w:id="1578784835">
      <w:bodyDiv w:val="1"/>
      <w:marLeft w:val="0"/>
      <w:marRight w:val="0"/>
      <w:marTop w:val="0"/>
      <w:marBottom w:val="0"/>
      <w:divBdr>
        <w:top w:val="none" w:sz="0" w:space="0" w:color="auto"/>
        <w:left w:val="none" w:sz="0" w:space="0" w:color="auto"/>
        <w:bottom w:val="none" w:sz="0" w:space="0" w:color="auto"/>
        <w:right w:val="none" w:sz="0" w:space="0" w:color="auto"/>
      </w:divBdr>
    </w:div>
    <w:div w:id="1588922682">
      <w:bodyDiv w:val="1"/>
      <w:marLeft w:val="0"/>
      <w:marRight w:val="0"/>
      <w:marTop w:val="0"/>
      <w:marBottom w:val="0"/>
      <w:divBdr>
        <w:top w:val="none" w:sz="0" w:space="0" w:color="auto"/>
        <w:left w:val="none" w:sz="0" w:space="0" w:color="auto"/>
        <w:bottom w:val="none" w:sz="0" w:space="0" w:color="auto"/>
        <w:right w:val="none" w:sz="0" w:space="0" w:color="auto"/>
      </w:divBdr>
    </w:div>
    <w:div w:id="1603873169">
      <w:bodyDiv w:val="1"/>
      <w:marLeft w:val="0"/>
      <w:marRight w:val="0"/>
      <w:marTop w:val="0"/>
      <w:marBottom w:val="0"/>
      <w:divBdr>
        <w:top w:val="none" w:sz="0" w:space="0" w:color="auto"/>
        <w:left w:val="none" w:sz="0" w:space="0" w:color="auto"/>
        <w:bottom w:val="none" w:sz="0" w:space="0" w:color="auto"/>
        <w:right w:val="none" w:sz="0" w:space="0" w:color="auto"/>
      </w:divBdr>
    </w:div>
    <w:div w:id="1630239299">
      <w:bodyDiv w:val="1"/>
      <w:marLeft w:val="0"/>
      <w:marRight w:val="0"/>
      <w:marTop w:val="0"/>
      <w:marBottom w:val="0"/>
      <w:divBdr>
        <w:top w:val="none" w:sz="0" w:space="0" w:color="auto"/>
        <w:left w:val="none" w:sz="0" w:space="0" w:color="auto"/>
        <w:bottom w:val="none" w:sz="0" w:space="0" w:color="auto"/>
        <w:right w:val="none" w:sz="0" w:space="0" w:color="auto"/>
      </w:divBdr>
    </w:div>
    <w:div w:id="1640111113">
      <w:bodyDiv w:val="1"/>
      <w:marLeft w:val="0"/>
      <w:marRight w:val="0"/>
      <w:marTop w:val="0"/>
      <w:marBottom w:val="0"/>
      <w:divBdr>
        <w:top w:val="none" w:sz="0" w:space="0" w:color="auto"/>
        <w:left w:val="none" w:sz="0" w:space="0" w:color="auto"/>
        <w:bottom w:val="none" w:sz="0" w:space="0" w:color="auto"/>
        <w:right w:val="none" w:sz="0" w:space="0" w:color="auto"/>
      </w:divBdr>
    </w:div>
    <w:div w:id="1668443029">
      <w:bodyDiv w:val="1"/>
      <w:marLeft w:val="0"/>
      <w:marRight w:val="0"/>
      <w:marTop w:val="0"/>
      <w:marBottom w:val="0"/>
      <w:divBdr>
        <w:top w:val="none" w:sz="0" w:space="0" w:color="auto"/>
        <w:left w:val="none" w:sz="0" w:space="0" w:color="auto"/>
        <w:bottom w:val="none" w:sz="0" w:space="0" w:color="auto"/>
        <w:right w:val="none" w:sz="0" w:space="0" w:color="auto"/>
      </w:divBdr>
    </w:div>
    <w:div w:id="1681010276">
      <w:bodyDiv w:val="1"/>
      <w:marLeft w:val="0"/>
      <w:marRight w:val="0"/>
      <w:marTop w:val="0"/>
      <w:marBottom w:val="0"/>
      <w:divBdr>
        <w:top w:val="none" w:sz="0" w:space="0" w:color="auto"/>
        <w:left w:val="none" w:sz="0" w:space="0" w:color="auto"/>
        <w:bottom w:val="none" w:sz="0" w:space="0" w:color="auto"/>
        <w:right w:val="none" w:sz="0" w:space="0" w:color="auto"/>
      </w:divBdr>
    </w:div>
    <w:div w:id="1696879997">
      <w:bodyDiv w:val="1"/>
      <w:marLeft w:val="0"/>
      <w:marRight w:val="0"/>
      <w:marTop w:val="0"/>
      <w:marBottom w:val="0"/>
      <w:divBdr>
        <w:top w:val="none" w:sz="0" w:space="0" w:color="auto"/>
        <w:left w:val="none" w:sz="0" w:space="0" w:color="auto"/>
        <w:bottom w:val="none" w:sz="0" w:space="0" w:color="auto"/>
        <w:right w:val="none" w:sz="0" w:space="0" w:color="auto"/>
      </w:divBdr>
    </w:div>
    <w:div w:id="1702394517">
      <w:bodyDiv w:val="1"/>
      <w:marLeft w:val="0"/>
      <w:marRight w:val="0"/>
      <w:marTop w:val="0"/>
      <w:marBottom w:val="0"/>
      <w:divBdr>
        <w:top w:val="none" w:sz="0" w:space="0" w:color="auto"/>
        <w:left w:val="none" w:sz="0" w:space="0" w:color="auto"/>
        <w:bottom w:val="none" w:sz="0" w:space="0" w:color="auto"/>
        <w:right w:val="none" w:sz="0" w:space="0" w:color="auto"/>
      </w:divBdr>
    </w:div>
    <w:div w:id="1708137101">
      <w:bodyDiv w:val="1"/>
      <w:marLeft w:val="0"/>
      <w:marRight w:val="0"/>
      <w:marTop w:val="0"/>
      <w:marBottom w:val="0"/>
      <w:divBdr>
        <w:top w:val="none" w:sz="0" w:space="0" w:color="auto"/>
        <w:left w:val="none" w:sz="0" w:space="0" w:color="auto"/>
        <w:bottom w:val="none" w:sz="0" w:space="0" w:color="auto"/>
        <w:right w:val="none" w:sz="0" w:space="0" w:color="auto"/>
      </w:divBdr>
    </w:div>
    <w:div w:id="1723601498">
      <w:bodyDiv w:val="1"/>
      <w:marLeft w:val="0"/>
      <w:marRight w:val="0"/>
      <w:marTop w:val="0"/>
      <w:marBottom w:val="0"/>
      <w:divBdr>
        <w:top w:val="none" w:sz="0" w:space="0" w:color="auto"/>
        <w:left w:val="none" w:sz="0" w:space="0" w:color="auto"/>
        <w:bottom w:val="none" w:sz="0" w:space="0" w:color="auto"/>
        <w:right w:val="none" w:sz="0" w:space="0" w:color="auto"/>
      </w:divBdr>
    </w:div>
    <w:div w:id="1786149763">
      <w:bodyDiv w:val="1"/>
      <w:marLeft w:val="0"/>
      <w:marRight w:val="0"/>
      <w:marTop w:val="0"/>
      <w:marBottom w:val="0"/>
      <w:divBdr>
        <w:top w:val="none" w:sz="0" w:space="0" w:color="auto"/>
        <w:left w:val="none" w:sz="0" w:space="0" w:color="auto"/>
        <w:bottom w:val="none" w:sz="0" w:space="0" w:color="auto"/>
        <w:right w:val="none" w:sz="0" w:space="0" w:color="auto"/>
      </w:divBdr>
    </w:div>
    <w:div w:id="1786925031">
      <w:bodyDiv w:val="1"/>
      <w:marLeft w:val="0"/>
      <w:marRight w:val="0"/>
      <w:marTop w:val="0"/>
      <w:marBottom w:val="0"/>
      <w:divBdr>
        <w:top w:val="none" w:sz="0" w:space="0" w:color="auto"/>
        <w:left w:val="none" w:sz="0" w:space="0" w:color="auto"/>
        <w:bottom w:val="none" w:sz="0" w:space="0" w:color="auto"/>
        <w:right w:val="none" w:sz="0" w:space="0" w:color="auto"/>
      </w:divBdr>
    </w:div>
    <w:div w:id="1798990064">
      <w:bodyDiv w:val="1"/>
      <w:marLeft w:val="0"/>
      <w:marRight w:val="0"/>
      <w:marTop w:val="0"/>
      <w:marBottom w:val="0"/>
      <w:divBdr>
        <w:top w:val="none" w:sz="0" w:space="0" w:color="auto"/>
        <w:left w:val="none" w:sz="0" w:space="0" w:color="auto"/>
        <w:bottom w:val="none" w:sz="0" w:space="0" w:color="auto"/>
        <w:right w:val="none" w:sz="0" w:space="0" w:color="auto"/>
      </w:divBdr>
    </w:div>
    <w:div w:id="1804887614">
      <w:bodyDiv w:val="1"/>
      <w:marLeft w:val="0"/>
      <w:marRight w:val="0"/>
      <w:marTop w:val="0"/>
      <w:marBottom w:val="0"/>
      <w:divBdr>
        <w:top w:val="none" w:sz="0" w:space="0" w:color="auto"/>
        <w:left w:val="none" w:sz="0" w:space="0" w:color="auto"/>
        <w:bottom w:val="none" w:sz="0" w:space="0" w:color="auto"/>
        <w:right w:val="none" w:sz="0" w:space="0" w:color="auto"/>
      </w:divBdr>
    </w:div>
    <w:div w:id="1805461335">
      <w:bodyDiv w:val="1"/>
      <w:marLeft w:val="0"/>
      <w:marRight w:val="0"/>
      <w:marTop w:val="0"/>
      <w:marBottom w:val="0"/>
      <w:divBdr>
        <w:top w:val="none" w:sz="0" w:space="0" w:color="auto"/>
        <w:left w:val="none" w:sz="0" w:space="0" w:color="auto"/>
        <w:bottom w:val="none" w:sz="0" w:space="0" w:color="auto"/>
        <w:right w:val="none" w:sz="0" w:space="0" w:color="auto"/>
      </w:divBdr>
    </w:div>
    <w:div w:id="1807896251">
      <w:bodyDiv w:val="1"/>
      <w:marLeft w:val="0"/>
      <w:marRight w:val="0"/>
      <w:marTop w:val="0"/>
      <w:marBottom w:val="0"/>
      <w:divBdr>
        <w:top w:val="none" w:sz="0" w:space="0" w:color="auto"/>
        <w:left w:val="none" w:sz="0" w:space="0" w:color="auto"/>
        <w:bottom w:val="none" w:sz="0" w:space="0" w:color="auto"/>
        <w:right w:val="none" w:sz="0" w:space="0" w:color="auto"/>
      </w:divBdr>
    </w:div>
    <w:div w:id="1924953079">
      <w:bodyDiv w:val="1"/>
      <w:marLeft w:val="0"/>
      <w:marRight w:val="0"/>
      <w:marTop w:val="0"/>
      <w:marBottom w:val="0"/>
      <w:divBdr>
        <w:top w:val="none" w:sz="0" w:space="0" w:color="auto"/>
        <w:left w:val="none" w:sz="0" w:space="0" w:color="auto"/>
        <w:bottom w:val="none" w:sz="0" w:space="0" w:color="auto"/>
        <w:right w:val="none" w:sz="0" w:space="0" w:color="auto"/>
      </w:divBdr>
    </w:div>
    <w:div w:id="1925528521">
      <w:bodyDiv w:val="1"/>
      <w:marLeft w:val="0"/>
      <w:marRight w:val="0"/>
      <w:marTop w:val="0"/>
      <w:marBottom w:val="0"/>
      <w:divBdr>
        <w:top w:val="none" w:sz="0" w:space="0" w:color="auto"/>
        <w:left w:val="none" w:sz="0" w:space="0" w:color="auto"/>
        <w:bottom w:val="none" w:sz="0" w:space="0" w:color="auto"/>
        <w:right w:val="none" w:sz="0" w:space="0" w:color="auto"/>
      </w:divBdr>
    </w:div>
    <w:div w:id="1957176933">
      <w:bodyDiv w:val="1"/>
      <w:marLeft w:val="0"/>
      <w:marRight w:val="0"/>
      <w:marTop w:val="0"/>
      <w:marBottom w:val="0"/>
      <w:divBdr>
        <w:top w:val="none" w:sz="0" w:space="0" w:color="auto"/>
        <w:left w:val="none" w:sz="0" w:space="0" w:color="auto"/>
        <w:bottom w:val="none" w:sz="0" w:space="0" w:color="auto"/>
        <w:right w:val="none" w:sz="0" w:space="0" w:color="auto"/>
      </w:divBdr>
    </w:div>
    <w:div w:id="1974021286">
      <w:bodyDiv w:val="1"/>
      <w:marLeft w:val="0"/>
      <w:marRight w:val="0"/>
      <w:marTop w:val="0"/>
      <w:marBottom w:val="0"/>
      <w:divBdr>
        <w:top w:val="none" w:sz="0" w:space="0" w:color="auto"/>
        <w:left w:val="none" w:sz="0" w:space="0" w:color="auto"/>
        <w:bottom w:val="none" w:sz="0" w:space="0" w:color="auto"/>
        <w:right w:val="none" w:sz="0" w:space="0" w:color="auto"/>
      </w:divBdr>
    </w:div>
    <w:div w:id="1979531769">
      <w:bodyDiv w:val="1"/>
      <w:marLeft w:val="0"/>
      <w:marRight w:val="0"/>
      <w:marTop w:val="0"/>
      <w:marBottom w:val="0"/>
      <w:divBdr>
        <w:top w:val="none" w:sz="0" w:space="0" w:color="auto"/>
        <w:left w:val="none" w:sz="0" w:space="0" w:color="auto"/>
        <w:bottom w:val="none" w:sz="0" w:space="0" w:color="auto"/>
        <w:right w:val="none" w:sz="0" w:space="0" w:color="auto"/>
      </w:divBdr>
    </w:div>
    <w:div w:id="2036348129">
      <w:bodyDiv w:val="1"/>
      <w:marLeft w:val="0"/>
      <w:marRight w:val="0"/>
      <w:marTop w:val="0"/>
      <w:marBottom w:val="0"/>
      <w:divBdr>
        <w:top w:val="none" w:sz="0" w:space="0" w:color="auto"/>
        <w:left w:val="none" w:sz="0" w:space="0" w:color="auto"/>
        <w:bottom w:val="none" w:sz="0" w:space="0" w:color="auto"/>
        <w:right w:val="none" w:sz="0" w:space="0" w:color="auto"/>
      </w:divBdr>
    </w:div>
    <w:div w:id="2036685158">
      <w:bodyDiv w:val="1"/>
      <w:marLeft w:val="0"/>
      <w:marRight w:val="0"/>
      <w:marTop w:val="0"/>
      <w:marBottom w:val="0"/>
      <w:divBdr>
        <w:top w:val="none" w:sz="0" w:space="0" w:color="auto"/>
        <w:left w:val="none" w:sz="0" w:space="0" w:color="auto"/>
        <w:bottom w:val="none" w:sz="0" w:space="0" w:color="auto"/>
        <w:right w:val="none" w:sz="0" w:space="0" w:color="auto"/>
      </w:divBdr>
    </w:div>
    <w:div w:id="2065253432">
      <w:bodyDiv w:val="1"/>
      <w:marLeft w:val="0"/>
      <w:marRight w:val="0"/>
      <w:marTop w:val="0"/>
      <w:marBottom w:val="0"/>
      <w:divBdr>
        <w:top w:val="none" w:sz="0" w:space="0" w:color="auto"/>
        <w:left w:val="none" w:sz="0" w:space="0" w:color="auto"/>
        <w:bottom w:val="none" w:sz="0" w:space="0" w:color="auto"/>
        <w:right w:val="none" w:sz="0" w:space="0" w:color="auto"/>
      </w:divBdr>
    </w:div>
    <w:div w:id="21018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70F7-020B-42E1-9D8B-E3A016EB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Allsop</dc:creator>
  <cp:lastModifiedBy>Administrator</cp:lastModifiedBy>
  <cp:revision>2</cp:revision>
  <cp:lastPrinted>2022-07-21T08:49:00Z</cp:lastPrinted>
  <dcterms:created xsi:type="dcterms:W3CDTF">2022-09-01T12:38:00Z</dcterms:created>
  <dcterms:modified xsi:type="dcterms:W3CDTF">2022-09-01T12:38:00Z</dcterms:modified>
</cp:coreProperties>
</file>